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caps/>
          <w:sz w:val="24"/>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tabs>
          <w:tab w:val="center" w:pos="4896"/>
          <w:tab w:val="left" w:pos="6230"/>
        </w:tabs>
        <w:spacing w:after="0" w:line="360" w:lineRule="auto"/>
        <w:rPr>
          <w:rFonts w:ascii="Arial" w:eastAsia="Times New Roman" w:hAnsi="Arial" w:cs="Times New Roman"/>
          <w:b/>
          <w:caps/>
          <w:sz w:val="40"/>
          <w:szCs w:val="20"/>
          <w:lang w:val="en-US" w:eastAsia="en-CA"/>
        </w:rPr>
      </w:pPr>
      <w:r w:rsidRPr="00F64C61">
        <w:rPr>
          <w:rFonts w:ascii="Arial" w:eastAsia="Times New Roman" w:hAnsi="Arial" w:cs="Times New Roman"/>
          <w:b/>
          <w:caps/>
          <w:sz w:val="40"/>
          <w:szCs w:val="20"/>
          <w:lang w:val="en-US" w:eastAsia="en-CA"/>
        </w:rPr>
        <w:tab/>
      </w: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360" w:lineRule="auto"/>
        <w:jc w:val="center"/>
        <w:rPr>
          <w:rFonts w:ascii="Arial" w:eastAsia="Times New Roman" w:hAnsi="Arial" w:cs="Times New Roman"/>
          <w:b/>
          <w:caps/>
          <w:sz w:val="40"/>
          <w:szCs w:val="20"/>
          <w:lang w:val="en-US" w:eastAsia="en-CA"/>
        </w:rPr>
      </w:pPr>
      <w:r w:rsidRPr="00F64C61">
        <w:rPr>
          <w:rFonts w:ascii="Arial" w:eastAsia="Times New Roman" w:hAnsi="Arial" w:cs="Times New Roman"/>
          <w:b/>
          <w:caps/>
          <w:sz w:val="40"/>
          <w:szCs w:val="20"/>
          <w:lang w:val="en-US" w:eastAsia="en-CA"/>
        </w:rPr>
        <w:t>regulated industrial property assessment minister’s GUIDElines</w:t>
      </w: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r w:rsidRPr="00F64C61">
        <w:rPr>
          <w:rFonts w:ascii="Arial" w:eastAsia="Times New Roman" w:hAnsi="Arial" w:cs="Arial"/>
          <w:b/>
          <w:sz w:val="20"/>
          <w:szCs w:val="20"/>
        </w:rPr>
        <w:t xml:space="preserve"> </w:t>
      </w: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r w:rsidRPr="00F64C61">
        <w:rPr>
          <w:rFonts w:ascii="Arial" w:eastAsia="Times New Roman" w:hAnsi="Arial" w:cs="Arial"/>
          <w:b/>
          <w:sz w:val="20"/>
          <w:szCs w:val="20"/>
        </w:rPr>
        <w:t xml:space="preserve">                                                                                                                        </w:t>
      </w:r>
      <w:r w:rsidRPr="00F64C61">
        <w:rPr>
          <w:rFonts w:ascii="Arial" w:eastAsia="Times New Roman" w:hAnsi="Arial" w:cs="Arial"/>
          <w:noProof/>
          <w:sz w:val="20"/>
          <w:szCs w:val="20"/>
          <w:lang w:eastAsia="en-CA"/>
        </w:rPr>
        <w:drawing>
          <wp:inline distT="0" distB="0" distL="0" distR="0" wp14:anchorId="524956B7" wp14:editId="62909E3E">
            <wp:extent cx="1097280" cy="411480"/>
            <wp:effectExtent l="0" t="0" r="7620" b="7620"/>
            <wp:docPr id="1" name="Picture 1" descr="cid:image001.jpg@01D0F791.2AB92640"/>
            <wp:cNvGraphicFramePr/>
            <a:graphic xmlns:a="http://schemas.openxmlformats.org/drawingml/2006/main">
              <a:graphicData uri="http://schemas.openxmlformats.org/drawingml/2006/picture">
                <pic:pic xmlns:pic="http://schemas.openxmlformats.org/drawingml/2006/picture">
                  <pic:nvPicPr>
                    <pic:cNvPr id="1" name="Picture 1" descr="cid:image001.jpg@01D0F791.2AB9264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411480"/>
                    </a:xfrm>
                    <a:prstGeom prst="rect">
                      <a:avLst/>
                    </a:prstGeom>
                    <a:noFill/>
                    <a:ln>
                      <a:noFill/>
                    </a:ln>
                  </pic:spPr>
                </pic:pic>
              </a:graphicData>
            </a:graphic>
          </wp:inline>
        </w:drawing>
      </w: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spacing w:after="0" w:line="240" w:lineRule="auto"/>
        <w:jc w:val="center"/>
        <w:rPr>
          <w:rFonts w:ascii="Arial" w:eastAsia="Times New Roman" w:hAnsi="Arial" w:cs="Arial"/>
          <w:b/>
          <w:sz w:val="20"/>
          <w:szCs w:val="20"/>
        </w:rPr>
      </w:pPr>
    </w:p>
    <w:p w:rsidR="004A3BB8" w:rsidRPr="00F64C61" w:rsidRDefault="004A3BB8" w:rsidP="004A3BB8">
      <w:pPr>
        <w:pBdr>
          <w:top w:val="single" w:sz="24" w:space="1" w:color="auto" w:shadow="1"/>
          <w:left w:val="single" w:sz="24" w:space="4" w:color="auto" w:shadow="1"/>
          <w:bottom w:val="single" w:sz="24" w:space="1" w:color="auto" w:shadow="1"/>
          <w:right w:val="single" w:sz="24" w:space="4" w:color="auto" w:shadow="1"/>
        </w:pBdr>
        <w:tabs>
          <w:tab w:val="right" w:pos="9792"/>
        </w:tabs>
        <w:spacing w:after="0" w:line="240" w:lineRule="auto"/>
        <w:rPr>
          <w:rFonts w:ascii="Arial" w:eastAsia="Times New Roman" w:hAnsi="Arial" w:cs="Arial"/>
          <w:sz w:val="20"/>
          <w:szCs w:val="20"/>
        </w:rPr>
      </w:pPr>
      <w:r w:rsidRPr="00F64C61">
        <w:rPr>
          <w:rFonts w:ascii="Arial" w:eastAsia="Times New Roman" w:hAnsi="Arial" w:cs="Arial"/>
          <w:b/>
          <w:sz w:val="20"/>
          <w:szCs w:val="20"/>
        </w:rPr>
        <w:tab/>
      </w:r>
    </w:p>
    <w:p w:rsidR="004A3BB8" w:rsidRPr="00F64C61" w:rsidRDefault="004A3BB8" w:rsidP="004A3BB8">
      <w:pPr>
        <w:spacing w:after="0" w:line="240" w:lineRule="auto"/>
        <w:rPr>
          <w:rFonts w:ascii="Arial" w:eastAsia="Times New Roman" w:hAnsi="Arial" w:cs="Arial"/>
          <w:sz w:val="20"/>
          <w:szCs w:val="20"/>
        </w:rPr>
        <w:sectPr w:rsidR="004A3BB8" w:rsidRPr="00F64C61" w:rsidSect="00D2667F">
          <w:footerReference w:type="default" r:id="rId10"/>
          <w:pgSz w:w="12240" w:h="15840" w:code="1"/>
          <w:pgMar w:top="1080" w:right="1080" w:bottom="1368" w:left="1368" w:header="576" w:footer="576" w:gutter="0"/>
          <w:cols w:space="708"/>
          <w:vAlign w:val="center"/>
          <w:docGrid w:linePitch="360"/>
        </w:sectPr>
      </w:pPr>
    </w:p>
    <w:p w:rsidR="004A3BB8" w:rsidRPr="00F64C61" w:rsidRDefault="004A3BB8" w:rsidP="004A3BB8">
      <w:pPr>
        <w:tabs>
          <w:tab w:val="left" w:pos="3960"/>
          <w:tab w:val="right" w:pos="8370"/>
        </w:tabs>
        <w:spacing w:after="0" w:line="240" w:lineRule="auto"/>
        <w:rPr>
          <w:rFonts w:ascii="Arial" w:eastAsia="Times New Roman" w:hAnsi="Arial" w:cs="Arial"/>
          <w:sz w:val="20"/>
          <w:szCs w:val="20"/>
        </w:rPr>
      </w:pPr>
      <w:r w:rsidRPr="00F64C61">
        <w:rPr>
          <w:rFonts w:ascii="Arial" w:eastAsia="Times New Roman" w:hAnsi="Arial" w:cs="Arial"/>
          <w:sz w:val="20"/>
          <w:szCs w:val="20"/>
        </w:rPr>
        <w:tab/>
      </w:r>
      <w:r w:rsidRPr="00F64C61">
        <w:rPr>
          <w:rFonts w:ascii="Arial" w:eastAsia="Times New Roman" w:hAnsi="Arial" w:cs="Arial"/>
          <w:sz w:val="20"/>
          <w:szCs w:val="20"/>
        </w:rPr>
        <w:tab/>
      </w:r>
      <w:r w:rsidRPr="00F64C61">
        <w:rPr>
          <w:rFonts w:ascii="Arial" w:eastAsia="Times New Roman" w:hAnsi="Arial" w:cs="Arial"/>
          <w:sz w:val="20"/>
          <w:szCs w:val="20"/>
        </w:rPr>
        <w:tab/>
      </w:r>
    </w:p>
    <w:p w:rsidR="004A3BB8" w:rsidRPr="00F64C61" w:rsidRDefault="004A3BB8" w:rsidP="004A3BB8">
      <w:pPr>
        <w:pStyle w:val="tocheading"/>
        <w:ind w:left="720"/>
      </w:pPr>
      <w:r w:rsidRPr="00F64C61">
        <w:t>TABLE OF CONTENTS</w:t>
      </w:r>
    </w:p>
    <w:p w:rsidR="00846B62" w:rsidRPr="00281A6A" w:rsidRDefault="00846B62" w:rsidP="00846B62">
      <w:pPr>
        <w:pStyle w:val="ListParagraph"/>
        <w:numPr>
          <w:ilvl w:val="0"/>
          <w:numId w:val="12"/>
        </w:numPr>
        <w:shd w:val="clear" w:color="auto" w:fill="F1F2F2"/>
        <w:spacing w:after="0" w:line="260" w:lineRule="atLeast"/>
        <w:rPr>
          <w:rFonts w:eastAsia="Times New Roman" w:cs="Arial"/>
          <w:color w:val="000000"/>
          <w:lang w:eastAsia="en-CA"/>
        </w:rPr>
      </w:pPr>
      <w:r w:rsidRPr="00281A6A">
        <w:rPr>
          <w:rFonts w:eastAsia="Times New Roman" w:cs="Arial"/>
          <w:color w:val="000000"/>
          <w:lang w:eastAsia="en-CA"/>
        </w:rPr>
        <w:t>Definitions</w:t>
      </w:r>
    </w:p>
    <w:p w:rsidR="00846B62" w:rsidRDefault="00846B62" w:rsidP="00846B62">
      <w:pPr>
        <w:pStyle w:val="ListParagraph"/>
        <w:numPr>
          <w:ilvl w:val="0"/>
          <w:numId w:val="12"/>
        </w:numPr>
        <w:shd w:val="clear" w:color="auto" w:fill="F1F2F2"/>
        <w:spacing w:after="0" w:line="260" w:lineRule="atLeast"/>
        <w:rPr>
          <w:rFonts w:eastAsia="Times New Roman" w:cs="Arial"/>
          <w:color w:val="000000"/>
          <w:lang w:eastAsia="en-CA"/>
        </w:rPr>
      </w:pPr>
      <w:r w:rsidRPr="006C4FB4">
        <w:rPr>
          <w:rFonts w:eastAsia="Times New Roman" w:cs="Arial"/>
          <w:color w:val="000000"/>
          <w:lang w:eastAsia="en-CA"/>
        </w:rPr>
        <w:t>Purpose</w:t>
      </w:r>
    </w:p>
    <w:p w:rsidR="00846B62" w:rsidRPr="00281A6A" w:rsidRDefault="00846B62"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Interpretation</w:t>
      </w:r>
    </w:p>
    <w:p w:rsidR="00846B62" w:rsidRPr="006C4FB4" w:rsidRDefault="00846B62" w:rsidP="00846B62">
      <w:pPr>
        <w:shd w:val="clear" w:color="auto" w:fill="F1F2F2"/>
        <w:spacing w:before="200" w:after="100" w:line="240" w:lineRule="atLeast"/>
        <w:ind w:left="1440"/>
        <w:rPr>
          <w:rFonts w:eastAsia="Times New Roman" w:cs="Arial"/>
          <w:b/>
          <w:bCs/>
          <w:color w:val="000000"/>
          <w:lang w:eastAsia="en-CA"/>
        </w:rPr>
      </w:pPr>
      <w:r w:rsidRPr="006C4FB4">
        <w:rPr>
          <w:rFonts w:eastAsia="Times New Roman" w:cs="Arial"/>
          <w:b/>
          <w:bCs/>
          <w:color w:val="000000"/>
          <w:lang w:eastAsia="en-CA"/>
        </w:rPr>
        <w:t>Part 1</w:t>
      </w:r>
      <w:r w:rsidRPr="006C4FB4">
        <w:rPr>
          <w:rFonts w:eastAsia="Times New Roman" w:cs="Arial"/>
          <w:b/>
          <w:bCs/>
          <w:color w:val="000000"/>
          <w:lang w:eastAsia="en-CA"/>
        </w:rPr>
        <w:br/>
      </w:r>
      <w:r>
        <w:rPr>
          <w:b/>
        </w:rPr>
        <w:t>Reporting Requirements</w:t>
      </w:r>
    </w:p>
    <w:p w:rsidR="00846B62" w:rsidRPr="000C1D30" w:rsidRDefault="00846B62" w:rsidP="00846B62">
      <w:pPr>
        <w:pStyle w:val="ListParagraph"/>
        <w:numPr>
          <w:ilvl w:val="0"/>
          <w:numId w:val="12"/>
        </w:numPr>
        <w:shd w:val="clear" w:color="auto" w:fill="F1F2F2"/>
        <w:spacing w:after="0" w:line="260" w:lineRule="atLeast"/>
        <w:rPr>
          <w:rFonts w:eastAsia="Times New Roman" w:cs="Arial"/>
          <w:bCs/>
          <w:color w:val="000000"/>
          <w:lang w:eastAsia="en-CA"/>
        </w:rPr>
      </w:pPr>
      <w:r w:rsidRPr="000C1D30">
        <w:rPr>
          <w:rFonts w:eastAsia="Times New Roman" w:cs="Arial"/>
          <w:bCs/>
          <w:color w:val="000000"/>
          <w:lang w:eastAsia="en-CA"/>
        </w:rPr>
        <w:t>Definitions</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Reporting of information</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Reporting of total project costs</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Labour reporting</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Reporting projects under construction</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Inadequate reporting and estimates</w:t>
      </w:r>
    </w:p>
    <w:p w:rsidR="00846B62" w:rsidRDefault="00846B62" w:rsidP="00846B62">
      <w:pPr>
        <w:shd w:val="clear" w:color="auto" w:fill="F1F2F2"/>
        <w:spacing w:before="200" w:after="100" w:line="240" w:lineRule="atLeast"/>
        <w:ind w:left="1440"/>
        <w:rPr>
          <w:rFonts w:eastAsia="Times New Roman" w:cs="Arial"/>
          <w:b/>
          <w:bCs/>
          <w:color w:val="000000"/>
          <w:lang w:eastAsia="en-CA"/>
        </w:rPr>
      </w:pPr>
      <w:r w:rsidRPr="006C4FB4">
        <w:rPr>
          <w:rFonts w:eastAsia="Times New Roman" w:cs="Arial"/>
          <w:b/>
          <w:bCs/>
          <w:color w:val="000000"/>
          <w:lang w:eastAsia="en-CA"/>
        </w:rPr>
        <w:t>Part 2</w:t>
      </w:r>
      <w:r w:rsidRPr="006C4FB4">
        <w:rPr>
          <w:rFonts w:eastAsia="Times New Roman" w:cs="Arial"/>
          <w:b/>
          <w:bCs/>
          <w:color w:val="000000"/>
          <w:lang w:eastAsia="en-CA"/>
        </w:rPr>
        <w:br/>
      </w:r>
      <w:r>
        <w:rPr>
          <w:rFonts w:eastAsia="Times New Roman" w:cs="Arial"/>
          <w:b/>
          <w:bCs/>
          <w:color w:val="000000"/>
          <w:lang w:eastAsia="en-CA"/>
        </w:rPr>
        <w:t>Determination of</w:t>
      </w:r>
      <w:r w:rsidR="00FC5DEB">
        <w:rPr>
          <w:rFonts w:eastAsia="Times New Roman" w:cs="Arial"/>
          <w:b/>
          <w:bCs/>
          <w:color w:val="000000"/>
          <w:lang w:eastAsia="en-CA"/>
        </w:rPr>
        <w:t xml:space="preserve"> </w:t>
      </w:r>
      <w:r w:rsidR="00F44166">
        <w:rPr>
          <w:rFonts w:eastAsia="Times New Roman" w:cs="Arial"/>
          <w:b/>
          <w:bCs/>
          <w:color w:val="000000"/>
          <w:lang w:eastAsia="en-CA"/>
        </w:rPr>
        <w:t>Included cost</w:t>
      </w:r>
    </w:p>
    <w:p w:rsidR="00846B62" w:rsidRPr="000C1D30" w:rsidRDefault="00FC5DEB" w:rsidP="00846B62">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Estimates</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 xml:space="preserve">Annually </w:t>
      </w:r>
      <w:r w:rsidR="00F44166">
        <w:rPr>
          <w:rFonts w:eastAsia="Times New Roman" w:cs="Arial"/>
          <w:color w:val="000000"/>
          <w:lang w:eastAsia="en-CA"/>
        </w:rPr>
        <w:t>included cost</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Carry forward rule</w:t>
      </w:r>
    </w:p>
    <w:p w:rsidR="00846B62" w:rsidRDefault="00846B62" w:rsidP="00FC5DEB">
      <w:pPr>
        <w:shd w:val="clear" w:color="auto" w:fill="F1F2F2"/>
        <w:spacing w:before="200" w:after="0" w:line="240" w:lineRule="atLeast"/>
        <w:ind w:left="1134"/>
        <w:rPr>
          <w:rFonts w:eastAsia="Times New Roman" w:cs="Arial"/>
          <w:b/>
          <w:bCs/>
          <w:color w:val="000000"/>
          <w:lang w:eastAsia="en-CA"/>
        </w:rPr>
      </w:pPr>
      <w:r w:rsidRPr="006C4FB4">
        <w:rPr>
          <w:rFonts w:eastAsia="Times New Roman" w:cs="Arial"/>
          <w:b/>
          <w:bCs/>
          <w:color w:val="000000"/>
          <w:lang w:eastAsia="en-CA"/>
        </w:rPr>
        <w:tab/>
        <w:t>Part 3</w:t>
      </w:r>
      <w:r w:rsidRPr="006C4FB4">
        <w:rPr>
          <w:rFonts w:eastAsia="Times New Roman" w:cs="Arial"/>
          <w:b/>
          <w:bCs/>
          <w:color w:val="000000"/>
          <w:lang w:eastAsia="en-CA"/>
        </w:rPr>
        <w:br/>
      </w:r>
      <w:r w:rsidRPr="006C4FB4">
        <w:rPr>
          <w:rFonts w:eastAsia="Times New Roman" w:cs="Arial"/>
          <w:b/>
          <w:bCs/>
          <w:color w:val="000000"/>
          <w:lang w:eastAsia="en-CA"/>
        </w:rPr>
        <w:tab/>
      </w:r>
      <w:r w:rsidR="00FC5DEB">
        <w:rPr>
          <w:rFonts w:eastAsia="Times New Roman" w:cs="Arial"/>
          <w:b/>
          <w:bCs/>
          <w:color w:val="000000"/>
          <w:lang w:eastAsia="en-CA"/>
        </w:rPr>
        <w:t>Labour and Transportation Costs Determination</w:t>
      </w:r>
    </w:p>
    <w:p w:rsidR="00FC5DEB" w:rsidRDefault="00FC5DEB" w:rsidP="00FC5DEB">
      <w:pPr>
        <w:shd w:val="clear" w:color="auto" w:fill="F1F2F2"/>
        <w:spacing w:before="200" w:after="0" w:line="240" w:lineRule="atLeast"/>
        <w:ind w:left="1134"/>
        <w:rPr>
          <w:rFonts w:eastAsia="Times New Roman" w:cs="Arial"/>
          <w:b/>
          <w:bCs/>
          <w:color w:val="000000"/>
          <w:lang w:eastAsia="en-CA"/>
        </w:rPr>
      </w:pPr>
      <w:r>
        <w:rPr>
          <w:rFonts w:eastAsia="Times New Roman" w:cs="Arial"/>
          <w:b/>
          <w:bCs/>
          <w:color w:val="000000"/>
          <w:lang w:eastAsia="en-CA"/>
        </w:rPr>
        <w:tab/>
        <w:t>Division 1</w:t>
      </w:r>
    </w:p>
    <w:p w:rsidR="00FC5DEB" w:rsidRPr="006C4FB4" w:rsidRDefault="00FC5DEB" w:rsidP="00FC5DEB">
      <w:pPr>
        <w:shd w:val="clear" w:color="auto" w:fill="F1F2F2"/>
        <w:spacing w:after="100" w:line="240" w:lineRule="atLeast"/>
        <w:ind w:left="1134"/>
        <w:rPr>
          <w:rFonts w:eastAsia="Times New Roman" w:cs="Arial"/>
          <w:b/>
          <w:bCs/>
          <w:color w:val="000000"/>
          <w:lang w:eastAsia="en-CA"/>
        </w:rPr>
      </w:pPr>
      <w:r>
        <w:rPr>
          <w:rFonts w:eastAsia="Times New Roman" w:cs="Arial"/>
          <w:b/>
          <w:bCs/>
          <w:color w:val="000000"/>
          <w:lang w:eastAsia="en-CA"/>
        </w:rPr>
        <w:tab/>
        <w:t>Labour Costs Determination</w:t>
      </w:r>
    </w:p>
    <w:p w:rsidR="00846B62" w:rsidRPr="000C1D30" w:rsidRDefault="00FC5DEB" w:rsidP="00846B62">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Definitions</w:t>
      </w:r>
    </w:p>
    <w:p w:rsidR="00846B62" w:rsidRPr="00FC5DEB" w:rsidRDefault="00FC5DEB" w:rsidP="00FC5DEB">
      <w:pPr>
        <w:pStyle w:val="ListParagraph"/>
        <w:numPr>
          <w:ilvl w:val="0"/>
          <w:numId w:val="12"/>
        </w:numPr>
        <w:shd w:val="clear" w:color="auto" w:fill="F1F2F2"/>
        <w:spacing w:after="0" w:line="260" w:lineRule="atLeast"/>
        <w:rPr>
          <w:rFonts w:eastAsia="Times New Roman" w:cs="Arial"/>
          <w:color w:val="000000"/>
          <w:lang w:eastAsia="en-CA"/>
        </w:rPr>
      </w:pPr>
      <w:r w:rsidRPr="00FC5DEB">
        <w:rPr>
          <w:rFonts w:eastAsia="Times New Roman" w:cs="Arial"/>
          <w:color w:val="000000"/>
          <w:lang w:eastAsia="en-CA"/>
        </w:rPr>
        <w:t>Labour costs during construction</w:t>
      </w:r>
      <w:r w:rsidR="00846B62" w:rsidRPr="00FC5DEB">
        <w:rPr>
          <w:rFonts w:eastAsia="Times New Roman" w:cs="Arial"/>
          <w:color w:val="000000"/>
          <w:lang w:eastAsia="en-CA"/>
        </w:rPr>
        <w:t>    </w:t>
      </w:r>
    </w:p>
    <w:p w:rsidR="00FC5DEB" w:rsidRDefault="00FC5DEB" w:rsidP="00FC5DEB">
      <w:pPr>
        <w:shd w:val="clear" w:color="auto" w:fill="F1F2F2"/>
        <w:spacing w:before="200" w:after="0" w:line="240" w:lineRule="atLeast"/>
        <w:ind w:left="1134" w:firstLine="306"/>
        <w:rPr>
          <w:rFonts w:eastAsia="Times New Roman" w:cs="Arial"/>
          <w:b/>
          <w:bCs/>
          <w:color w:val="000000"/>
          <w:lang w:eastAsia="en-CA"/>
        </w:rPr>
      </w:pPr>
      <w:r>
        <w:rPr>
          <w:rFonts w:eastAsia="Times New Roman" w:cs="Arial"/>
          <w:b/>
          <w:bCs/>
          <w:color w:val="000000"/>
          <w:lang w:eastAsia="en-CA"/>
        </w:rPr>
        <w:t>Division 2</w:t>
      </w:r>
    </w:p>
    <w:p w:rsidR="00FC5DEB" w:rsidRPr="006C4FB4" w:rsidRDefault="00FC5DEB" w:rsidP="00FC5DEB">
      <w:pPr>
        <w:shd w:val="clear" w:color="auto" w:fill="F1F2F2"/>
        <w:spacing w:after="100" w:line="240" w:lineRule="atLeast"/>
        <w:ind w:left="1134"/>
        <w:rPr>
          <w:rFonts w:eastAsia="Times New Roman" w:cs="Arial"/>
          <w:b/>
          <w:bCs/>
          <w:color w:val="000000"/>
          <w:lang w:eastAsia="en-CA"/>
        </w:rPr>
      </w:pPr>
      <w:r>
        <w:rPr>
          <w:rFonts w:eastAsia="Times New Roman" w:cs="Arial"/>
          <w:b/>
          <w:bCs/>
          <w:color w:val="000000"/>
          <w:lang w:eastAsia="en-CA"/>
        </w:rPr>
        <w:tab/>
        <w:t>Transportation Costs Determination</w:t>
      </w:r>
    </w:p>
    <w:p w:rsidR="00FC5DEB" w:rsidRDefault="00FC5DEB" w:rsidP="00FC5DEB">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Definitions</w:t>
      </w:r>
    </w:p>
    <w:p w:rsidR="00FC5DEB" w:rsidRDefault="00FC5DEB" w:rsidP="00FC5DEB">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Application</w:t>
      </w:r>
    </w:p>
    <w:p w:rsidR="00FC5DEB" w:rsidRDefault="00FC5DEB" w:rsidP="00FC5DEB">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Property located in the Edmonton area</w:t>
      </w:r>
    </w:p>
    <w:p w:rsidR="00FC5DEB" w:rsidRPr="00FC5DEB" w:rsidRDefault="00FC5DEB" w:rsidP="00FC5DEB">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The Edmonton area principle</w:t>
      </w:r>
    </w:p>
    <w:p w:rsidR="00FC5DEB" w:rsidRDefault="00846B62" w:rsidP="00FC5DEB">
      <w:pPr>
        <w:shd w:val="clear" w:color="auto" w:fill="F1F2F2"/>
        <w:spacing w:before="200" w:after="0" w:line="240" w:lineRule="atLeast"/>
        <w:ind w:left="1440"/>
        <w:rPr>
          <w:rFonts w:eastAsia="Times New Roman" w:cs="Arial"/>
          <w:b/>
          <w:bCs/>
          <w:color w:val="000000"/>
          <w:lang w:eastAsia="en-CA"/>
        </w:rPr>
      </w:pPr>
      <w:r w:rsidRPr="006C4FB4">
        <w:rPr>
          <w:rFonts w:eastAsia="Times New Roman" w:cs="Arial"/>
          <w:b/>
          <w:bCs/>
          <w:color w:val="000000"/>
          <w:lang w:eastAsia="en-CA"/>
        </w:rPr>
        <w:t xml:space="preserve">Part </w:t>
      </w:r>
      <w:r>
        <w:rPr>
          <w:rFonts w:eastAsia="Times New Roman" w:cs="Arial"/>
          <w:b/>
          <w:bCs/>
          <w:color w:val="000000"/>
          <w:lang w:eastAsia="en-CA"/>
        </w:rPr>
        <w:t>4</w:t>
      </w:r>
      <w:r w:rsidRPr="006C4FB4">
        <w:rPr>
          <w:rFonts w:eastAsia="Times New Roman" w:cs="Arial"/>
          <w:b/>
          <w:bCs/>
          <w:color w:val="000000"/>
          <w:lang w:eastAsia="en-CA"/>
        </w:rPr>
        <w:br/>
      </w:r>
      <w:r w:rsidR="00FC5DEB">
        <w:rPr>
          <w:rFonts w:eastAsia="Times New Roman" w:cs="Arial"/>
          <w:b/>
          <w:bCs/>
          <w:color w:val="000000"/>
          <w:lang w:eastAsia="en-CA"/>
        </w:rPr>
        <w:t>Determination of Excluded Costs</w:t>
      </w:r>
      <w:r w:rsidR="00FC5DEB" w:rsidRPr="00FC5DEB">
        <w:rPr>
          <w:rFonts w:eastAsia="Times New Roman" w:cs="Arial"/>
          <w:b/>
          <w:bCs/>
          <w:color w:val="000000"/>
          <w:lang w:eastAsia="en-CA"/>
        </w:rPr>
        <w:t xml:space="preserve"> </w:t>
      </w:r>
    </w:p>
    <w:p w:rsidR="00FC5DEB" w:rsidRDefault="00FC5DEB" w:rsidP="00FC5DEB">
      <w:pPr>
        <w:shd w:val="clear" w:color="auto" w:fill="F1F2F2"/>
        <w:spacing w:before="200" w:after="0" w:line="240" w:lineRule="atLeast"/>
        <w:ind w:left="1134" w:firstLine="306"/>
        <w:rPr>
          <w:rFonts w:eastAsia="Times New Roman" w:cs="Arial"/>
          <w:b/>
          <w:bCs/>
          <w:color w:val="000000"/>
          <w:lang w:eastAsia="en-CA"/>
        </w:rPr>
      </w:pPr>
      <w:r>
        <w:rPr>
          <w:rFonts w:eastAsia="Times New Roman" w:cs="Arial"/>
          <w:b/>
          <w:bCs/>
          <w:color w:val="000000"/>
          <w:lang w:eastAsia="en-CA"/>
        </w:rPr>
        <w:t>Division 1</w:t>
      </w:r>
    </w:p>
    <w:p w:rsidR="00FC5DEB" w:rsidRPr="006C4FB4" w:rsidRDefault="00FC5DEB" w:rsidP="00FC5DEB">
      <w:pPr>
        <w:shd w:val="clear" w:color="auto" w:fill="F1F2F2"/>
        <w:spacing w:after="100" w:line="240" w:lineRule="atLeast"/>
        <w:ind w:left="1134" w:firstLine="306"/>
        <w:rPr>
          <w:rFonts w:eastAsia="Times New Roman" w:cs="Arial"/>
          <w:b/>
          <w:bCs/>
          <w:color w:val="000000"/>
          <w:lang w:eastAsia="en-CA"/>
        </w:rPr>
      </w:pPr>
      <w:r>
        <w:rPr>
          <w:rFonts w:eastAsia="Times New Roman" w:cs="Arial"/>
          <w:b/>
          <w:bCs/>
          <w:color w:val="000000"/>
          <w:lang w:eastAsia="en-CA"/>
        </w:rPr>
        <w:t>General Rules</w:t>
      </w:r>
    </w:p>
    <w:p w:rsidR="00846B62" w:rsidRPr="000C1D30" w:rsidRDefault="00FC5DEB" w:rsidP="00846B62">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Responsibility for determination of excluded costs</w:t>
      </w:r>
    </w:p>
    <w:p w:rsidR="00FC5DEB" w:rsidRDefault="00FC5DEB" w:rsidP="00FC5DEB">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General rule</w:t>
      </w:r>
    </w:p>
    <w:p w:rsidR="00FC5DEB" w:rsidRDefault="00FC5DEB" w:rsidP="00FC5DEB">
      <w:pPr>
        <w:shd w:val="clear" w:color="auto" w:fill="F1F2F2"/>
        <w:spacing w:before="200" w:after="0" w:line="240" w:lineRule="atLeast"/>
        <w:ind w:left="1134" w:firstLine="306"/>
        <w:rPr>
          <w:rFonts w:eastAsia="Times New Roman" w:cs="Arial"/>
          <w:b/>
          <w:bCs/>
          <w:color w:val="000000"/>
          <w:lang w:eastAsia="en-CA"/>
        </w:rPr>
      </w:pPr>
      <w:r>
        <w:rPr>
          <w:rFonts w:eastAsia="Times New Roman" w:cs="Arial"/>
          <w:b/>
          <w:bCs/>
          <w:color w:val="000000"/>
          <w:lang w:eastAsia="en-CA"/>
        </w:rPr>
        <w:t>Division 2</w:t>
      </w:r>
    </w:p>
    <w:p w:rsidR="00FC5DEB" w:rsidRPr="006C4FB4" w:rsidRDefault="00FC5DEB" w:rsidP="00FC5DEB">
      <w:pPr>
        <w:shd w:val="clear" w:color="auto" w:fill="F1F2F2"/>
        <w:spacing w:after="100" w:line="240" w:lineRule="atLeast"/>
        <w:ind w:left="1134" w:firstLine="306"/>
        <w:rPr>
          <w:rFonts w:eastAsia="Times New Roman" w:cs="Arial"/>
          <w:b/>
          <w:bCs/>
          <w:color w:val="000000"/>
          <w:lang w:eastAsia="en-CA"/>
        </w:rPr>
      </w:pPr>
      <w:r>
        <w:rPr>
          <w:rFonts w:eastAsia="Times New Roman" w:cs="Arial"/>
          <w:b/>
          <w:bCs/>
          <w:color w:val="000000"/>
          <w:lang w:eastAsia="en-CA"/>
        </w:rPr>
        <w:t>Excluded Costs</w:t>
      </w:r>
    </w:p>
    <w:p w:rsidR="00846B62"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Definitions</w:t>
      </w:r>
    </w:p>
    <w:p w:rsidR="00FC5DEB"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List of excluded costs</w:t>
      </w:r>
    </w:p>
    <w:p w:rsidR="00FC5DEB" w:rsidRDefault="00FC5DEB" w:rsidP="00846B62">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color w:val="000000"/>
          <w:lang w:eastAsia="en-CA"/>
        </w:rPr>
        <w:t xml:space="preserve">Costs which must not be excluded </w:t>
      </w:r>
    </w:p>
    <w:p w:rsidR="003627F5" w:rsidRDefault="003627F5" w:rsidP="003627F5">
      <w:pPr>
        <w:shd w:val="clear" w:color="auto" w:fill="F1F2F2"/>
        <w:spacing w:before="200" w:after="100" w:line="240" w:lineRule="atLeast"/>
        <w:ind w:left="1440"/>
        <w:rPr>
          <w:rFonts w:eastAsia="Times New Roman" w:cs="Arial"/>
          <w:b/>
          <w:bCs/>
          <w:color w:val="000000"/>
          <w:lang w:eastAsia="en-CA"/>
        </w:rPr>
      </w:pPr>
      <w:r w:rsidRPr="006C4FB4">
        <w:rPr>
          <w:rFonts w:eastAsia="Times New Roman" w:cs="Arial"/>
          <w:b/>
          <w:bCs/>
          <w:color w:val="000000"/>
          <w:lang w:eastAsia="en-CA"/>
        </w:rPr>
        <w:t xml:space="preserve">Part </w:t>
      </w:r>
      <w:r>
        <w:rPr>
          <w:rFonts w:eastAsia="Times New Roman" w:cs="Arial"/>
          <w:b/>
          <w:bCs/>
          <w:color w:val="000000"/>
          <w:lang w:eastAsia="en-CA"/>
        </w:rPr>
        <w:t>5</w:t>
      </w:r>
      <w:r w:rsidRPr="006C4FB4">
        <w:rPr>
          <w:rFonts w:eastAsia="Times New Roman" w:cs="Arial"/>
          <w:b/>
          <w:bCs/>
          <w:color w:val="000000"/>
          <w:lang w:eastAsia="en-CA"/>
        </w:rPr>
        <w:br/>
      </w:r>
      <w:r>
        <w:rPr>
          <w:rFonts w:eastAsia="Times New Roman" w:cs="Arial"/>
          <w:b/>
          <w:bCs/>
          <w:color w:val="000000"/>
          <w:lang w:eastAsia="en-CA"/>
        </w:rPr>
        <w:t>Removals</w:t>
      </w:r>
    </w:p>
    <w:p w:rsidR="003627F5" w:rsidRDefault="003627F5" w:rsidP="003627F5">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Definitions</w:t>
      </w:r>
    </w:p>
    <w:p w:rsidR="003627F5" w:rsidRPr="000C1D30" w:rsidRDefault="003627F5" w:rsidP="003627F5">
      <w:pPr>
        <w:pStyle w:val="ListParagraph"/>
        <w:numPr>
          <w:ilvl w:val="0"/>
          <w:numId w:val="12"/>
        </w:numPr>
        <w:shd w:val="clear" w:color="auto" w:fill="F1F2F2"/>
        <w:spacing w:after="0" w:line="260" w:lineRule="atLeast"/>
        <w:rPr>
          <w:rFonts w:eastAsia="Times New Roman" w:cs="Arial"/>
          <w:bCs/>
          <w:color w:val="000000"/>
          <w:lang w:eastAsia="en-CA"/>
        </w:rPr>
      </w:pPr>
      <w:r>
        <w:rPr>
          <w:rFonts w:eastAsia="Times New Roman" w:cs="Arial"/>
          <w:bCs/>
          <w:color w:val="000000"/>
          <w:lang w:eastAsia="en-CA"/>
        </w:rPr>
        <w:t>Removal of assessed property</w:t>
      </w:r>
    </w:p>
    <w:p w:rsidR="003627F5" w:rsidRDefault="003627F5" w:rsidP="003627F5">
      <w:pPr>
        <w:shd w:val="clear" w:color="auto" w:fill="F1F2F2"/>
        <w:spacing w:before="200" w:after="100" w:line="240" w:lineRule="atLeast"/>
        <w:ind w:left="1440"/>
        <w:rPr>
          <w:rFonts w:eastAsia="Times New Roman" w:cs="Arial"/>
          <w:b/>
          <w:bCs/>
          <w:color w:val="000000"/>
          <w:lang w:eastAsia="en-CA"/>
        </w:rPr>
      </w:pPr>
      <w:r w:rsidRPr="006C4FB4">
        <w:rPr>
          <w:rFonts w:eastAsia="Times New Roman" w:cs="Arial"/>
          <w:b/>
          <w:bCs/>
          <w:color w:val="000000"/>
          <w:lang w:eastAsia="en-CA"/>
        </w:rPr>
        <w:t xml:space="preserve">Part </w:t>
      </w:r>
      <w:r>
        <w:rPr>
          <w:rFonts w:eastAsia="Times New Roman" w:cs="Arial"/>
          <w:b/>
          <w:bCs/>
          <w:color w:val="000000"/>
          <w:lang w:eastAsia="en-CA"/>
        </w:rPr>
        <w:t>6</w:t>
      </w:r>
      <w:r w:rsidRPr="006C4FB4">
        <w:rPr>
          <w:rFonts w:eastAsia="Times New Roman" w:cs="Arial"/>
          <w:b/>
          <w:bCs/>
          <w:color w:val="000000"/>
          <w:lang w:eastAsia="en-CA"/>
        </w:rPr>
        <w:br/>
      </w:r>
      <w:r>
        <w:rPr>
          <w:rFonts w:eastAsia="Times New Roman" w:cs="Arial"/>
          <w:b/>
          <w:bCs/>
          <w:color w:val="000000"/>
          <w:lang w:eastAsia="en-CA"/>
        </w:rPr>
        <w:t>Effective date</w:t>
      </w:r>
    </w:p>
    <w:p w:rsidR="003627F5" w:rsidRDefault="003627F5" w:rsidP="003627F5">
      <w:pPr>
        <w:pStyle w:val="ListParagraph"/>
        <w:numPr>
          <w:ilvl w:val="0"/>
          <w:numId w:val="12"/>
        </w:numPr>
        <w:shd w:val="clear" w:color="auto" w:fill="F1F2F2"/>
        <w:spacing w:after="0" w:line="260" w:lineRule="atLeast"/>
        <w:rPr>
          <w:rFonts w:eastAsia="Times New Roman" w:cs="Arial"/>
          <w:color w:val="000000"/>
          <w:lang w:eastAsia="en-CA"/>
        </w:rPr>
      </w:pPr>
      <w:r>
        <w:rPr>
          <w:rFonts w:eastAsia="Times New Roman" w:cs="Arial"/>
          <w:bCs/>
          <w:color w:val="000000"/>
          <w:lang w:eastAsia="en-CA"/>
        </w:rPr>
        <w:t>Coming into force</w:t>
      </w:r>
    </w:p>
    <w:p w:rsidR="00426C3A" w:rsidRPr="00F64C61" w:rsidRDefault="00426C3A"/>
    <w:p w:rsidR="00FC7229" w:rsidRPr="00F64C61" w:rsidRDefault="00426C3A">
      <w:r w:rsidRPr="00F64C61">
        <w:tab/>
      </w:r>
    </w:p>
    <w:p w:rsidR="00FC7229" w:rsidRPr="00F64C61" w:rsidRDefault="00FC7229">
      <w:r w:rsidRPr="00F64C61">
        <w:br w:type="page"/>
      </w:r>
    </w:p>
    <w:p w:rsidR="00426C3A" w:rsidRPr="00F64C61" w:rsidRDefault="00426C3A" w:rsidP="002C1D09">
      <w:pPr>
        <w:spacing w:after="0" w:line="240" w:lineRule="auto"/>
        <w:ind w:left="720" w:firstLine="720"/>
        <w:rPr>
          <w:b/>
        </w:rPr>
      </w:pPr>
      <w:r w:rsidRPr="00F64C61">
        <w:rPr>
          <w:b/>
        </w:rPr>
        <w:t>Definitions</w:t>
      </w:r>
    </w:p>
    <w:p w:rsidR="004D6F32" w:rsidRPr="00F64C61" w:rsidRDefault="00426C3A">
      <w:r w:rsidRPr="00F64C61">
        <w:rPr>
          <w:b/>
        </w:rPr>
        <w:tab/>
      </w:r>
      <w:r w:rsidRPr="00F64C61">
        <w:rPr>
          <w:b/>
        </w:rPr>
        <w:tab/>
        <w:t>1</w:t>
      </w:r>
      <w:r w:rsidR="002B1261" w:rsidRPr="00F64C61">
        <w:t>(1)</w:t>
      </w:r>
      <w:r w:rsidRPr="00F64C61">
        <w:t xml:space="preserve"> In </w:t>
      </w:r>
      <w:r w:rsidR="00F0768B" w:rsidRPr="00F64C61">
        <w:t>these Guidelines</w:t>
      </w:r>
      <w:r w:rsidR="004D6F32" w:rsidRPr="00F64C61">
        <w:t>,</w:t>
      </w:r>
    </w:p>
    <w:p w:rsidR="00426C3A" w:rsidRPr="00F64C61" w:rsidRDefault="004D6F32" w:rsidP="00160CAF">
      <w:pPr>
        <w:pStyle w:val="ListParagraph"/>
        <w:numPr>
          <w:ilvl w:val="0"/>
          <w:numId w:val="1"/>
        </w:numPr>
        <w:ind w:left="2340" w:hanging="540"/>
      </w:pPr>
      <w:r w:rsidRPr="00F64C61">
        <w:t xml:space="preserve">“Act” means the </w:t>
      </w:r>
      <w:r w:rsidRPr="00F64C61">
        <w:rPr>
          <w:i/>
        </w:rPr>
        <w:t>Municipal Government Act</w:t>
      </w:r>
      <w:r w:rsidRPr="00F64C61">
        <w:t>;</w:t>
      </w:r>
    </w:p>
    <w:p w:rsidR="008C38F7" w:rsidRPr="00F64C61" w:rsidRDefault="00D17E69" w:rsidP="00160CAF">
      <w:pPr>
        <w:pStyle w:val="ListParagraph"/>
        <w:numPr>
          <w:ilvl w:val="0"/>
          <w:numId w:val="1"/>
        </w:numPr>
        <w:ind w:left="2340" w:hanging="540"/>
      </w:pPr>
      <w:r w:rsidRPr="00F64C61">
        <w:t xml:space="preserve">“alteration” </w:t>
      </w:r>
      <w:r w:rsidR="00BF511D" w:rsidRPr="00F64C61">
        <w:t xml:space="preserve">means any change from the previous state of the </w:t>
      </w:r>
      <w:r w:rsidR="00A575CE" w:rsidRPr="00F64C61">
        <w:t xml:space="preserve">assessed </w:t>
      </w:r>
      <w:r w:rsidR="00BF511D" w:rsidRPr="00F64C61">
        <w:t>property</w:t>
      </w:r>
      <w:r w:rsidR="003A271A" w:rsidRPr="00F64C61">
        <w:t xml:space="preserve">, </w:t>
      </w:r>
    </w:p>
    <w:p w:rsidR="008C38F7" w:rsidRPr="00CE13A5" w:rsidRDefault="001F0B1F" w:rsidP="00160CAF">
      <w:pPr>
        <w:pStyle w:val="ListParagraph"/>
        <w:numPr>
          <w:ilvl w:val="1"/>
          <w:numId w:val="1"/>
        </w:numPr>
        <w:ind w:left="2700"/>
      </w:pPr>
      <w:r w:rsidRPr="00F64C61">
        <w:t>i</w:t>
      </w:r>
      <w:r w:rsidR="008C38F7" w:rsidRPr="00F64C61">
        <w:t xml:space="preserve">ncluding </w:t>
      </w:r>
      <w:r w:rsidR="003A271A" w:rsidRPr="00F64C61">
        <w:t xml:space="preserve">work to </w:t>
      </w:r>
      <w:r w:rsidR="00BF511D" w:rsidRPr="00F64C61">
        <w:t>improve</w:t>
      </w:r>
      <w:r w:rsidR="003A271A" w:rsidRPr="00F64C61">
        <w:t xml:space="preserve"> the</w:t>
      </w:r>
      <w:r w:rsidR="00BF511D" w:rsidRPr="00F64C61">
        <w:t xml:space="preserve"> operational capacity</w:t>
      </w:r>
      <w:r w:rsidR="003A271A" w:rsidRPr="00F64C61">
        <w:t xml:space="preserve"> or efficiency of the assessed property</w:t>
      </w:r>
      <w:r w:rsidR="00BF511D" w:rsidRPr="00F64C61">
        <w:t xml:space="preserve">, </w:t>
      </w:r>
      <w:r w:rsidR="003A271A" w:rsidRPr="00F64C61">
        <w:t xml:space="preserve">to extend the </w:t>
      </w:r>
      <w:r w:rsidR="00BF511D" w:rsidRPr="00F64C61">
        <w:t xml:space="preserve">life of the </w:t>
      </w:r>
      <w:r w:rsidR="003A271A" w:rsidRPr="00F64C61">
        <w:t>assessed property</w:t>
      </w:r>
      <w:r w:rsidR="00B53419">
        <w:t>,</w:t>
      </w:r>
      <w:r w:rsidR="00BF511D" w:rsidRPr="00F64C61">
        <w:t xml:space="preserve"> </w:t>
      </w:r>
      <w:r w:rsidR="00E059F9" w:rsidRPr="00F64C61">
        <w:t xml:space="preserve">and </w:t>
      </w:r>
      <w:r w:rsidR="00BF511D" w:rsidRPr="00F64C61">
        <w:t xml:space="preserve">any additions, </w:t>
      </w:r>
      <w:r w:rsidR="003A271A" w:rsidRPr="00F64C61">
        <w:t xml:space="preserve">upgrades, </w:t>
      </w:r>
      <w:r w:rsidR="00BF511D" w:rsidRPr="00F64C61">
        <w:t xml:space="preserve">modifications, replacements, reconditioning and </w:t>
      </w:r>
      <w:r w:rsidR="00BF511D" w:rsidRPr="00CE13A5">
        <w:t>retrofits</w:t>
      </w:r>
      <w:r w:rsidR="00F708BA" w:rsidRPr="00CE13A5">
        <w:t xml:space="preserve"> of the assessed property</w:t>
      </w:r>
      <w:r w:rsidR="00BF511D" w:rsidRPr="00CE13A5">
        <w:t xml:space="preserve">; </w:t>
      </w:r>
    </w:p>
    <w:p w:rsidR="00BF511D" w:rsidRPr="00CE13A5" w:rsidRDefault="001F0B1F" w:rsidP="00160CAF">
      <w:pPr>
        <w:pStyle w:val="ListParagraph"/>
        <w:numPr>
          <w:ilvl w:val="1"/>
          <w:numId w:val="1"/>
        </w:numPr>
        <w:ind w:left="2700"/>
      </w:pPr>
      <w:r w:rsidRPr="00CE13A5">
        <w:t>b</w:t>
      </w:r>
      <w:r w:rsidR="008C38F7" w:rsidRPr="00CE13A5">
        <w:t>ut not a removal under Part 5</w:t>
      </w:r>
      <w:r w:rsidR="00534E57" w:rsidRPr="00CE13A5">
        <w:t>;</w:t>
      </w:r>
    </w:p>
    <w:p w:rsidR="003F07F3" w:rsidRPr="00CE13A5" w:rsidRDefault="003F07F3" w:rsidP="00160CAF">
      <w:pPr>
        <w:pStyle w:val="ListParagraph"/>
        <w:numPr>
          <w:ilvl w:val="0"/>
          <w:numId w:val="1"/>
        </w:numPr>
        <w:ind w:left="2340" w:hanging="540"/>
      </w:pPr>
      <w:r w:rsidRPr="00CE13A5">
        <w:t>“assessment year” means</w:t>
      </w:r>
      <w:r w:rsidR="001F52F3" w:rsidRPr="00CE13A5">
        <w:t xml:space="preserve"> the year prior to the year</w:t>
      </w:r>
      <w:r w:rsidR="005F5607" w:rsidRPr="00CE13A5">
        <w:t xml:space="preserve"> for which the assessment is prepared</w:t>
      </w:r>
      <w:r w:rsidR="00534E57" w:rsidRPr="00CE13A5">
        <w:t>;</w:t>
      </w:r>
    </w:p>
    <w:p w:rsidR="001F52F3" w:rsidRPr="00CE13A5" w:rsidRDefault="001F52F3" w:rsidP="00160CAF">
      <w:pPr>
        <w:pStyle w:val="ListParagraph"/>
        <w:numPr>
          <w:ilvl w:val="0"/>
          <w:numId w:val="1"/>
        </w:numPr>
        <w:ind w:left="2340" w:hanging="540"/>
      </w:pPr>
      <w:r w:rsidRPr="00CE13A5">
        <w:t>“construction” means building, installation, edification, of all-new assessed property</w:t>
      </w:r>
      <w:r w:rsidR="00534E57" w:rsidRPr="00CE13A5">
        <w:t>;</w:t>
      </w:r>
    </w:p>
    <w:p w:rsidR="00E54F94" w:rsidRPr="00CE13A5" w:rsidRDefault="00E54F94" w:rsidP="00160CAF">
      <w:pPr>
        <w:pStyle w:val="ListParagraph"/>
        <w:numPr>
          <w:ilvl w:val="0"/>
          <w:numId w:val="1"/>
        </w:numPr>
        <w:ind w:left="2340" w:hanging="540"/>
      </w:pPr>
      <w:r w:rsidRPr="00CE13A5">
        <w:t>“contractor” means the person or firm designated by contract as responsible for the construction of the</w:t>
      </w:r>
      <w:r w:rsidR="00941C26" w:rsidRPr="00CE13A5">
        <w:t xml:space="preserve"> assessed</w:t>
      </w:r>
      <w:r w:rsidRPr="00CE13A5">
        <w:t xml:space="preserve"> property;</w:t>
      </w:r>
    </w:p>
    <w:p w:rsidR="00DF4ED1" w:rsidRPr="00CE13A5" w:rsidRDefault="007E7AA8" w:rsidP="00160CAF">
      <w:pPr>
        <w:pStyle w:val="ListParagraph"/>
        <w:numPr>
          <w:ilvl w:val="0"/>
          <w:numId w:val="1"/>
        </w:numPr>
        <w:ind w:left="2340" w:hanging="540"/>
      </w:pPr>
      <w:r w:rsidRPr="00CE13A5">
        <w:t>“direct costs” means the costs for labour, materials, and installation which can be directly related to the project work being carried out at the</w:t>
      </w:r>
      <w:r w:rsidR="009551AD" w:rsidRPr="00CE13A5">
        <w:t xml:space="preserve"> assessed</w:t>
      </w:r>
      <w:r w:rsidRPr="00CE13A5">
        <w:t xml:space="preserve"> property;</w:t>
      </w:r>
    </w:p>
    <w:p w:rsidR="00A642C6" w:rsidRPr="00CE13A5" w:rsidRDefault="00A642C6" w:rsidP="00160CAF">
      <w:pPr>
        <w:pStyle w:val="ListParagraph"/>
        <w:numPr>
          <w:ilvl w:val="0"/>
          <w:numId w:val="1"/>
        </w:numPr>
        <w:ind w:left="2340" w:hanging="540"/>
      </w:pPr>
      <w:r w:rsidRPr="00CE13A5">
        <w:t>“Edmonton area” means the City of Edmonton and the surrounding area within 50 kilometres of the city limits;</w:t>
      </w:r>
    </w:p>
    <w:p w:rsidR="003D588D" w:rsidRPr="00CE13A5" w:rsidRDefault="003D588D" w:rsidP="00160CAF">
      <w:pPr>
        <w:pStyle w:val="ListParagraph"/>
        <w:numPr>
          <w:ilvl w:val="0"/>
          <w:numId w:val="1"/>
        </w:numPr>
        <w:ind w:left="2340" w:hanging="540"/>
      </w:pPr>
      <w:r w:rsidRPr="00CE13A5">
        <w:t xml:space="preserve">“included cost” </w:t>
      </w:r>
      <w:r w:rsidR="00056B65" w:rsidRPr="00CE13A5">
        <w:t xml:space="preserve">is the cost determined in accordance with section </w:t>
      </w:r>
      <w:r w:rsidR="002304E4" w:rsidRPr="00CE13A5">
        <w:t>11</w:t>
      </w:r>
      <w:r w:rsidR="00534E57" w:rsidRPr="00CE13A5">
        <w:t>;</w:t>
      </w:r>
    </w:p>
    <w:p w:rsidR="00FA0752" w:rsidRPr="00CE13A5" w:rsidRDefault="00F31D71" w:rsidP="00160CAF">
      <w:pPr>
        <w:pStyle w:val="ListParagraph"/>
        <w:numPr>
          <w:ilvl w:val="0"/>
          <w:numId w:val="1"/>
        </w:numPr>
        <w:ind w:left="2340" w:hanging="540"/>
      </w:pPr>
      <w:r w:rsidRPr="00CE13A5">
        <w:t xml:space="preserve">“indirect costs” means costs incurred away from the site </w:t>
      </w:r>
      <w:r w:rsidR="00AA6740" w:rsidRPr="00CE13A5">
        <w:t xml:space="preserve">of the assessed property </w:t>
      </w:r>
      <w:r w:rsidRPr="00CE13A5">
        <w:t>or are costs tha</w:t>
      </w:r>
      <w:r w:rsidR="00AA6740" w:rsidRPr="00CE13A5">
        <w:t xml:space="preserve">t </w:t>
      </w:r>
      <w:r w:rsidR="00584DB1" w:rsidRPr="00CE13A5">
        <w:t>relate to the</w:t>
      </w:r>
      <w:r w:rsidR="00AA6740" w:rsidRPr="00CE13A5">
        <w:t xml:space="preserve"> project</w:t>
      </w:r>
      <w:r w:rsidR="00584DB1" w:rsidRPr="00CE13A5">
        <w:t xml:space="preserve"> but not directly</w:t>
      </w:r>
      <w:r w:rsidR="00AA6740" w:rsidRPr="00CE13A5">
        <w:t>;</w:t>
      </w:r>
    </w:p>
    <w:p w:rsidR="00BC6C70" w:rsidRPr="00F64C61" w:rsidRDefault="00BC6C70" w:rsidP="00160CAF">
      <w:pPr>
        <w:pStyle w:val="ListParagraph"/>
        <w:numPr>
          <w:ilvl w:val="0"/>
          <w:numId w:val="1"/>
        </w:numPr>
        <w:ind w:left="2340" w:hanging="540"/>
      </w:pPr>
      <w:r w:rsidRPr="00CE13A5">
        <w:t>“labour” means all types of work performed by natural persons, includ</w:t>
      </w:r>
      <w:r w:rsidRPr="00F64C61">
        <w:t xml:space="preserve">ing physical and mental work, either by an employee or a contractor, and includes </w:t>
      </w:r>
      <w:r w:rsidR="00CD1651" w:rsidRPr="00F64C61">
        <w:t>work in any type of occupation</w:t>
      </w:r>
      <w:r w:rsidRPr="00F64C61">
        <w:t xml:space="preserve"> described in the Nat</w:t>
      </w:r>
      <w:r w:rsidR="004F1B93" w:rsidRPr="00F64C61">
        <w:t>ional Occupation Classification;</w:t>
      </w:r>
      <w:r w:rsidRPr="00F64C61">
        <w:t xml:space="preserve"> </w:t>
      </w:r>
    </w:p>
    <w:p w:rsidR="00A367EE" w:rsidRPr="00F64C61" w:rsidRDefault="00A367EE" w:rsidP="00160CAF">
      <w:pPr>
        <w:pStyle w:val="ListParagraph"/>
        <w:numPr>
          <w:ilvl w:val="0"/>
          <w:numId w:val="1"/>
        </w:numPr>
        <w:ind w:left="2340" w:hanging="540"/>
      </w:pPr>
      <w:r w:rsidRPr="00F64C61">
        <w:t>“</w:t>
      </w:r>
      <w:proofErr w:type="gramStart"/>
      <w:r w:rsidRPr="00F64C61">
        <w:t>labour</w:t>
      </w:r>
      <w:proofErr w:type="gramEnd"/>
      <w:r w:rsidRPr="00F64C61">
        <w:t xml:space="preserve"> costs” means </w:t>
      </w:r>
      <w:r w:rsidR="00831EED" w:rsidRPr="00F64C61">
        <w:t>the cost for</w:t>
      </w:r>
      <w:r w:rsidRPr="00F64C61">
        <w:t xml:space="preserve"> </w:t>
      </w:r>
      <w:r w:rsidR="00831EED" w:rsidRPr="00F64C61">
        <w:t xml:space="preserve">labour associated with the </w:t>
      </w:r>
      <w:r w:rsidR="00B91415" w:rsidRPr="00F64C61">
        <w:t>project</w:t>
      </w:r>
      <w:r w:rsidR="00831EED" w:rsidRPr="00F64C61">
        <w:t>.</w:t>
      </w:r>
    </w:p>
    <w:p w:rsidR="005E3DE1" w:rsidRPr="00F64C61" w:rsidRDefault="00F31D71" w:rsidP="00160CAF">
      <w:pPr>
        <w:pStyle w:val="ListParagraph"/>
        <w:numPr>
          <w:ilvl w:val="0"/>
          <w:numId w:val="1"/>
        </w:numPr>
        <w:ind w:left="2340" w:hanging="540"/>
      </w:pPr>
      <w:r w:rsidRPr="00F64C61">
        <w:t>“materials”</w:t>
      </w:r>
      <w:r w:rsidR="005E3DE1" w:rsidRPr="00F64C61">
        <w:t xml:space="preserve"> means</w:t>
      </w:r>
      <w:r w:rsidRPr="00F64C61">
        <w:t xml:space="preserve"> </w:t>
      </w:r>
      <w:r w:rsidR="005E3DE1" w:rsidRPr="00F64C61">
        <w:t xml:space="preserve">all things of a physical nature used in the project, including </w:t>
      </w:r>
    </w:p>
    <w:p w:rsidR="005E3DE1" w:rsidRPr="00F64C61" w:rsidRDefault="005E3DE1" w:rsidP="005902E4">
      <w:pPr>
        <w:pStyle w:val="ListParagraph"/>
        <w:numPr>
          <w:ilvl w:val="1"/>
          <w:numId w:val="1"/>
        </w:numPr>
        <w:ind w:left="2700"/>
      </w:pPr>
      <w:r w:rsidRPr="00F64C61">
        <w:t xml:space="preserve">raw materials, components, but not tools, vehicles or equipment that will not form part of the </w:t>
      </w:r>
      <w:r w:rsidR="00254BDE" w:rsidRPr="00F64C61">
        <w:t xml:space="preserve">assessed </w:t>
      </w:r>
      <w:r w:rsidRPr="00F64C61">
        <w:t xml:space="preserve">property after </w:t>
      </w:r>
      <w:r w:rsidR="00254BDE" w:rsidRPr="00F64C61">
        <w:t xml:space="preserve">it </w:t>
      </w:r>
      <w:r w:rsidRPr="00F64C61">
        <w:t xml:space="preserve">is operational, </w:t>
      </w:r>
    </w:p>
    <w:p w:rsidR="00B50187" w:rsidRPr="00F64C61" w:rsidRDefault="00B50187" w:rsidP="005902E4">
      <w:pPr>
        <w:pStyle w:val="ListParagraph"/>
        <w:numPr>
          <w:ilvl w:val="1"/>
          <w:numId w:val="1"/>
        </w:numPr>
        <w:ind w:left="2700"/>
      </w:pPr>
      <w:r w:rsidRPr="00F64C61">
        <w:t xml:space="preserve">disposable </w:t>
      </w:r>
      <w:r w:rsidR="008629F1" w:rsidRPr="00F64C61">
        <w:t>things of a physical nature</w:t>
      </w:r>
      <w:r w:rsidRPr="00F64C61">
        <w:t xml:space="preserve"> consumed during the </w:t>
      </w:r>
      <w:r w:rsidR="002B3611" w:rsidRPr="00F64C61">
        <w:t>course of the project</w:t>
      </w:r>
      <w:r w:rsidR="00981265" w:rsidRPr="00F64C61">
        <w:t>, and</w:t>
      </w:r>
    </w:p>
    <w:p w:rsidR="005E3DE1" w:rsidRPr="00F64C61" w:rsidRDefault="00B50187" w:rsidP="005902E4">
      <w:pPr>
        <w:pStyle w:val="ListParagraph"/>
        <w:numPr>
          <w:ilvl w:val="1"/>
          <w:numId w:val="1"/>
        </w:numPr>
        <w:ind w:left="2700"/>
      </w:pPr>
      <w:r w:rsidRPr="00F64C61">
        <w:t>e</w:t>
      </w:r>
      <w:r w:rsidR="005E3DE1" w:rsidRPr="00F64C61">
        <w:t xml:space="preserve">lectronic technology and software that is </w:t>
      </w:r>
      <w:r w:rsidR="00467045" w:rsidRPr="00F64C61">
        <w:t xml:space="preserve">part of the assessed property or </w:t>
      </w:r>
      <w:r w:rsidR="00725F2B" w:rsidRPr="00F64C61">
        <w:t>required</w:t>
      </w:r>
      <w:r w:rsidR="005E3DE1" w:rsidRPr="00F64C61">
        <w:t xml:space="preserve"> to operate the </w:t>
      </w:r>
      <w:r w:rsidR="000F12A5" w:rsidRPr="00F64C61">
        <w:t>assessed property</w:t>
      </w:r>
      <w:r w:rsidR="00B57029" w:rsidRPr="00F64C61">
        <w:t xml:space="preserve"> according to its intended purpose</w:t>
      </w:r>
      <w:r w:rsidR="00CD3C45" w:rsidRPr="00F64C61">
        <w:t>;</w:t>
      </w:r>
    </w:p>
    <w:p w:rsidR="00C4656A" w:rsidRPr="00F64C61" w:rsidRDefault="00C9606C" w:rsidP="00160CAF">
      <w:pPr>
        <w:pStyle w:val="ListParagraph"/>
        <w:numPr>
          <w:ilvl w:val="0"/>
          <w:numId w:val="1"/>
        </w:numPr>
        <w:ind w:left="2340" w:hanging="540"/>
      </w:pPr>
      <w:r w:rsidRPr="00F64C61">
        <w:t>“Minister’s Guidelines” means any other guideline adopted by the Minister under section 322(2)</w:t>
      </w:r>
      <w:r w:rsidR="00CD3C45" w:rsidRPr="00F64C61">
        <w:t xml:space="preserve"> of the Act;</w:t>
      </w:r>
    </w:p>
    <w:p w:rsidR="00B75AE3" w:rsidRPr="00F64C61" w:rsidRDefault="00B75AE3" w:rsidP="00160CAF">
      <w:pPr>
        <w:pStyle w:val="ListParagraph"/>
        <w:numPr>
          <w:ilvl w:val="0"/>
          <w:numId w:val="1"/>
        </w:numPr>
        <w:ind w:left="2340" w:hanging="540"/>
      </w:pPr>
      <w:r w:rsidRPr="00F64C61">
        <w:t xml:space="preserve">“National Occupation Classification” means the </w:t>
      </w:r>
      <w:r w:rsidRPr="00F64C61">
        <w:rPr>
          <w:i/>
        </w:rPr>
        <w:t>National Occupation Classification, 2011</w:t>
      </w:r>
      <w:r w:rsidRPr="00F64C61">
        <w:t xml:space="preserve">, published by Statistics Canada, as updated by the </w:t>
      </w:r>
      <w:r w:rsidRPr="00F64C61">
        <w:rPr>
          <w:i/>
        </w:rPr>
        <w:t>National Occupation Classification, 2016</w:t>
      </w:r>
      <w:r w:rsidRPr="00F64C61">
        <w:t xml:space="preserve">, and as otherwise amended or replaced </w:t>
      </w:r>
      <w:r w:rsidR="00AE2E8D" w:rsidRPr="00F64C61">
        <w:t xml:space="preserve">by Statistics Canada </w:t>
      </w:r>
      <w:r w:rsidR="00F67868" w:rsidRPr="00F64C61">
        <w:t>from time to time;</w:t>
      </w:r>
    </w:p>
    <w:p w:rsidR="00F34238" w:rsidRPr="00F64C61" w:rsidRDefault="00F34238" w:rsidP="00160CAF">
      <w:pPr>
        <w:pStyle w:val="ListParagraph"/>
        <w:numPr>
          <w:ilvl w:val="0"/>
          <w:numId w:val="1"/>
        </w:numPr>
        <w:ind w:left="2340" w:hanging="540"/>
      </w:pPr>
      <w:r w:rsidRPr="00F64C61">
        <w:t xml:space="preserve">“operational” has the meaning prescribed in </w:t>
      </w:r>
      <w:r w:rsidR="003944C2" w:rsidRPr="00F64C61">
        <w:t>s</w:t>
      </w:r>
      <w:r w:rsidRPr="00F64C61">
        <w:t>ecti</w:t>
      </w:r>
      <w:r w:rsidRPr="003C5072">
        <w:t>on xx(</w:t>
      </w:r>
      <w:proofErr w:type="spellStart"/>
      <w:r w:rsidRPr="003C5072">
        <w:t>yy</w:t>
      </w:r>
      <w:proofErr w:type="spellEnd"/>
      <w:r w:rsidRPr="003C5072">
        <w:t>)</w:t>
      </w:r>
      <w:r w:rsidRPr="00F64C61">
        <w:t xml:space="preserve"> of the </w:t>
      </w:r>
      <w:r w:rsidR="00407024" w:rsidRPr="00F64C61">
        <w:t>Regulation</w:t>
      </w:r>
      <w:r w:rsidRPr="00F64C61">
        <w:t>;</w:t>
      </w:r>
    </w:p>
    <w:p w:rsidR="00857F52" w:rsidRPr="00F64C61" w:rsidRDefault="00857F52" w:rsidP="00160CAF">
      <w:pPr>
        <w:pStyle w:val="ListParagraph"/>
        <w:numPr>
          <w:ilvl w:val="0"/>
          <w:numId w:val="1"/>
        </w:numPr>
        <w:ind w:left="2340" w:hanging="540"/>
      </w:pPr>
      <w:r w:rsidRPr="00F64C61">
        <w:t xml:space="preserve">“project” means the construction </w:t>
      </w:r>
      <w:r w:rsidR="001F52F3" w:rsidRPr="00F64C61">
        <w:t>or alteration of assessed</w:t>
      </w:r>
      <w:r w:rsidR="00F67868" w:rsidRPr="00F64C61">
        <w:t xml:space="preserve"> property;</w:t>
      </w:r>
      <w:r w:rsidRPr="00F64C61">
        <w:t xml:space="preserve"> </w:t>
      </w:r>
    </w:p>
    <w:p w:rsidR="00421367" w:rsidRPr="00F64C61" w:rsidRDefault="00421367" w:rsidP="00160CAF">
      <w:pPr>
        <w:pStyle w:val="ListParagraph"/>
        <w:numPr>
          <w:ilvl w:val="0"/>
          <w:numId w:val="1"/>
        </w:numPr>
        <w:ind w:left="2340" w:hanging="540"/>
      </w:pPr>
      <w:r w:rsidRPr="00F64C61">
        <w:t>“report” means an assessed person’s response to a request for information sent under secti</w:t>
      </w:r>
      <w:r w:rsidRPr="00CE13A5">
        <w:t xml:space="preserve">on </w:t>
      </w:r>
      <w:r w:rsidR="00EC6F43" w:rsidRPr="00CE13A5">
        <w:t>5</w:t>
      </w:r>
      <w:r w:rsidR="00293E43" w:rsidRPr="00CE13A5">
        <w:t>(1)</w:t>
      </w:r>
      <w:r w:rsidR="00F67868" w:rsidRPr="00CE13A5">
        <w:t>;</w:t>
      </w:r>
    </w:p>
    <w:p w:rsidR="007C346F" w:rsidRPr="00F64C61" w:rsidRDefault="007C346F" w:rsidP="00160CAF">
      <w:pPr>
        <w:pStyle w:val="ListParagraph"/>
        <w:numPr>
          <w:ilvl w:val="0"/>
          <w:numId w:val="1"/>
        </w:numPr>
        <w:ind w:left="2340" w:hanging="540"/>
      </w:pPr>
      <w:r w:rsidRPr="00F64C61">
        <w:t xml:space="preserve">“Regulation” means the </w:t>
      </w:r>
      <w:r w:rsidRPr="00F64C61">
        <w:rPr>
          <w:i/>
        </w:rPr>
        <w:t>Matters Relating to Assessment and Taxation Regulation, Alberta Regulation 220/2004</w:t>
      </w:r>
      <w:r w:rsidRPr="00F64C61">
        <w:t>;</w:t>
      </w:r>
    </w:p>
    <w:p w:rsidR="007C346F" w:rsidRPr="00F64C61" w:rsidRDefault="007C346F" w:rsidP="00160CAF">
      <w:pPr>
        <w:pStyle w:val="ListParagraph"/>
        <w:numPr>
          <w:ilvl w:val="0"/>
          <w:numId w:val="1"/>
        </w:numPr>
        <w:ind w:left="2340" w:hanging="540"/>
      </w:pPr>
      <w:r w:rsidRPr="00CE13A5">
        <w:t xml:space="preserve">“total project costs” </w:t>
      </w:r>
      <w:r w:rsidR="00663EAB" w:rsidRPr="00CE13A5">
        <w:t>me</w:t>
      </w:r>
      <w:r w:rsidR="00663EAB" w:rsidRPr="00F64C61">
        <w:t>ans all costs incurred over a project’s duration by the assessed person and any agents, contractors</w:t>
      </w:r>
      <w:r w:rsidR="00A56B8F">
        <w:t>,</w:t>
      </w:r>
      <w:r w:rsidR="00663EAB" w:rsidRPr="00F64C61">
        <w:t xml:space="preserve"> or other persons contributing to the project from the beginning of front end planning, including all onsite and offsite costs, as well all direct and indirect labor costs, costs for materials, transportation costs and other costs</w:t>
      </w:r>
      <w:r w:rsidRPr="00F64C61">
        <w:rPr>
          <w:color w:val="C00000"/>
        </w:rPr>
        <w:t>.</w:t>
      </w:r>
    </w:p>
    <w:p w:rsidR="000C740B" w:rsidRDefault="002B1261" w:rsidP="002B1261">
      <w:pPr>
        <w:ind w:left="1440"/>
      </w:pPr>
      <w:r w:rsidRPr="00CE13A5">
        <w:t xml:space="preserve">(2) Except where this Guideline contains a different definition, the definitions in section 284 of the Act apply. </w:t>
      </w:r>
    </w:p>
    <w:p w:rsidR="00F44166" w:rsidRPr="00F44166" w:rsidRDefault="00F44166" w:rsidP="00F44166">
      <w:pPr>
        <w:ind w:left="1440"/>
      </w:pPr>
      <w:r w:rsidRPr="00C0291D">
        <w:t>(3) The text in shaded boxes does not form part of this Guideline but is provided for information purposes.</w:t>
      </w:r>
      <w:r w:rsidRPr="00F44166">
        <w:t xml:space="preserve"> </w:t>
      </w:r>
    </w:p>
    <w:p w:rsidR="00DD523E" w:rsidRPr="00F64C61" w:rsidRDefault="00DD523E" w:rsidP="00127CE7">
      <w:pPr>
        <w:spacing w:after="0" w:line="240" w:lineRule="auto"/>
        <w:ind w:left="720" w:firstLine="720"/>
        <w:rPr>
          <w:b/>
          <w:sz w:val="28"/>
        </w:rPr>
      </w:pPr>
      <w:r w:rsidRPr="00F64C61">
        <w:rPr>
          <w:b/>
        </w:rPr>
        <w:t>Purpose</w:t>
      </w:r>
    </w:p>
    <w:p w:rsidR="000C740B" w:rsidRPr="00F64C61" w:rsidRDefault="00E227C3" w:rsidP="00B650A8">
      <w:pPr>
        <w:ind w:left="1440"/>
      </w:pPr>
      <w:r w:rsidRPr="00F64C61">
        <w:rPr>
          <w:b/>
        </w:rPr>
        <w:t>2</w:t>
      </w:r>
      <w:r w:rsidR="000C740B" w:rsidRPr="00F64C61">
        <w:t xml:space="preserve">   </w:t>
      </w:r>
      <w:r w:rsidR="00B650A8" w:rsidRPr="00F64C61">
        <w:t xml:space="preserve">This Guideline is used for the calculation of </w:t>
      </w:r>
      <w:r w:rsidR="00F44166">
        <w:t>included cost</w:t>
      </w:r>
      <w:r w:rsidR="00B650A8" w:rsidRPr="00F64C61">
        <w:t xml:space="preserve"> </w:t>
      </w:r>
      <w:r w:rsidR="00AC7503" w:rsidRPr="00F64C61">
        <w:t xml:space="preserve">for </w:t>
      </w:r>
      <w:r w:rsidR="00B650A8" w:rsidRPr="00F64C61">
        <w:t xml:space="preserve">property </w:t>
      </w:r>
      <w:r w:rsidR="00350FC0" w:rsidRPr="00F64C61">
        <w:t xml:space="preserve">assessed </w:t>
      </w:r>
      <w:r w:rsidR="00B650A8" w:rsidRPr="00F64C61">
        <w:t>under the A</w:t>
      </w:r>
      <w:r w:rsidR="00B650A8" w:rsidRPr="00F64C61">
        <w:rPr>
          <w:i/>
        </w:rPr>
        <w:t>lberta Linear Property Assessment Minister’s Guidelines</w:t>
      </w:r>
      <w:r w:rsidR="00B650A8" w:rsidRPr="00F64C61">
        <w:t xml:space="preserve"> and the </w:t>
      </w:r>
      <w:r w:rsidR="00B650A8" w:rsidRPr="00F64C61">
        <w:rPr>
          <w:i/>
        </w:rPr>
        <w:t xml:space="preserve">Alberta Machinery and Equipment Assessment Minister’s Guidelines </w:t>
      </w:r>
      <w:r w:rsidR="00B650A8" w:rsidRPr="00F64C61">
        <w:t>where an included cost must be prepared.</w:t>
      </w:r>
      <w:r w:rsidR="000C740B" w:rsidRPr="00F64C61">
        <w:t xml:space="preserve"> </w:t>
      </w:r>
    </w:p>
    <w:p w:rsidR="006001C9" w:rsidRPr="00FC5DEB" w:rsidRDefault="00FC5DEB" w:rsidP="00127CE7">
      <w:pPr>
        <w:spacing w:after="0" w:line="240" w:lineRule="auto"/>
        <w:ind w:left="720" w:firstLine="720"/>
      </w:pPr>
      <w:r w:rsidRPr="00FC5DEB">
        <w:rPr>
          <w:b/>
        </w:rPr>
        <w:t>Interpretation</w:t>
      </w:r>
    </w:p>
    <w:p w:rsidR="00B650A8" w:rsidRPr="00F64C61" w:rsidRDefault="00140CA3" w:rsidP="00B650A8">
      <w:pPr>
        <w:ind w:left="720" w:firstLine="720"/>
        <w:rPr>
          <w:color w:val="C00000"/>
        </w:rPr>
      </w:pPr>
      <w:r w:rsidRPr="00F64C61">
        <w:rPr>
          <w:b/>
        </w:rPr>
        <w:t>3</w:t>
      </w:r>
      <w:r w:rsidR="00E227C3" w:rsidRPr="00F64C61">
        <w:t xml:space="preserve"> </w:t>
      </w:r>
      <w:r w:rsidR="00B650A8" w:rsidRPr="00F64C61">
        <w:t>This Guideline must be interpreted in manner consistent with</w:t>
      </w:r>
    </w:p>
    <w:p w:rsidR="00B650A8" w:rsidRPr="00F64C61" w:rsidRDefault="00B650A8" w:rsidP="00160CAF">
      <w:pPr>
        <w:pStyle w:val="ListParagraph"/>
        <w:numPr>
          <w:ilvl w:val="0"/>
          <w:numId w:val="2"/>
        </w:numPr>
        <w:ind w:left="2160"/>
      </w:pPr>
      <w:r w:rsidRPr="00F64C61">
        <w:t>ensuring the transparency and accuracy of assessment information required to prepare assessments for linear property and machinery and equipment</w:t>
      </w:r>
      <w:r w:rsidR="007D2B68" w:rsidRPr="00F64C61">
        <w:t>;</w:t>
      </w:r>
      <w:r w:rsidRPr="00F64C61">
        <w:t xml:space="preserve"> </w:t>
      </w:r>
    </w:p>
    <w:p w:rsidR="00B650A8" w:rsidRPr="00F64C61" w:rsidRDefault="00B650A8" w:rsidP="00160CAF">
      <w:pPr>
        <w:pStyle w:val="ListParagraph"/>
        <w:numPr>
          <w:ilvl w:val="0"/>
          <w:numId w:val="2"/>
        </w:numPr>
        <w:ind w:left="2160"/>
      </w:pPr>
      <w:r w:rsidRPr="00F64C61">
        <w:t>ensur</w:t>
      </w:r>
      <w:r w:rsidR="00AB15AD" w:rsidRPr="00F64C61">
        <w:t xml:space="preserve">ing </w:t>
      </w:r>
      <w:r w:rsidRPr="00F64C61">
        <w:t>the transfer of information during construction as well as alterations during the life of the assessed property;</w:t>
      </w:r>
      <w:r w:rsidR="00974CE9" w:rsidRPr="00F64C61">
        <w:t xml:space="preserve"> and</w:t>
      </w:r>
    </w:p>
    <w:p w:rsidR="00B650A8" w:rsidRPr="00F64C61" w:rsidRDefault="00B650A8" w:rsidP="00160CAF">
      <w:pPr>
        <w:pStyle w:val="ListParagraph"/>
        <w:numPr>
          <w:ilvl w:val="0"/>
          <w:numId w:val="2"/>
        </w:numPr>
        <w:ind w:left="2160"/>
      </w:pPr>
      <w:proofErr w:type="gramStart"/>
      <w:r w:rsidRPr="00F64C61">
        <w:t>achiev</w:t>
      </w:r>
      <w:r w:rsidR="00297461" w:rsidRPr="00F64C61">
        <w:t>ing</w:t>
      </w:r>
      <w:proofErr w:type="gramEnd"/>
      <w:r w:rsidRPr="00F64C61">
        <w:t xml:space="preserve"> consistency in regulated industrial assessment through consistent application of the Regulation and Minister’s Guidelines. </w:t>
      </w:r>
    </w:p>
    <w:p w:rsidR="00A77629" w:rsidRPr="00F64C61" w:rsidRDefault="00A77629" w:rsidP="00A77629">
      <w:pPr>
        <w:pStyle w:val="ListParagraph"/>
        <w:ind w:left="2520"/>
      </w:pPr>
    </w:p>
    <w:tbl>
      <w:tblPr>
        <w:tblStyle w:val="TableGrid"/>
        <w:tblW w:w="0" w:type="auto"/>
        <w:tblInd w:w="1548" w:type="dxa"/>
        <w:tblLook w:val="04A0" w:firstRow="1" w:lastRow="0" w:firstColumn="1" w:lastColumn="0" w:noHBand="0" w:noVBand="1"/>
      </w:tblPr>
      <w:tblGrid>
        <w:gridCol w:w="8028"/>
      </w:tblGrid>
      <w:tr w:rsidR="002F22AD" w:rsidRPr="00F64C61" w:rsidTr="002F22AD">
        <w:tc>
          <w:tcPr>
            <w:tcW w:w="8028" w:type="dxa"/>
          </w:tcPr>
          <w:p w:rsidR="002F22AD" w:rsidRPr="00F64C61" w:rsidRDefault="002F22AD" w:rsidP="003D4E8C">
            <w:pPr>
              <w:pStyle w:val="ListParagraph"/>
              <w:spacing w:before="120" w:after="120"/>
              <w:ind w:left="0"/>
            </w:pPr>
            <w:r w:rsidRPr="00F64C61">
              <w:t xml:space="preserve">As the intent of regulated assessment is standardization, </w:t>
            </w:r>
            <w:r w:rsidR="00EE0B62" w:rsidRPr="00F64C61">
              <w:t>the principles applied in this Guideline</w:t>
            </w:r>
            <w:r w:rsidRPr="00F64C61">
              <w:t xml:space="preserve"> </w:t>
            </w:r>
            <w:r w:rsidR="00F033FB" w:rsidRPr="00F64C61">
              <w:t>will be</w:t>
            </w:r>
            <w:r w:rsidRPr="00F64C61">
              <w:t xml:space="preserve"> used to prepare the regulated rates Schedule A of the </w:t>
            </w:r>
            <w:r w:rsidRPr="00F64C61">
              <w:rPr>
                <w:i/>
              </w:rPr>
              <w:t>Alberta Linear Property Assessment Minister’s Guidelines</w:t>
            </w:r>
            <w:r w:rsidRPr="00F64C61">
              <w:t xml:space="preserve"> and the </w:t>
            </w:r>
            <w:r w:rsidRPr="00F64C61">
              <w:rPr>
                <w:i/>
              </w:rPr>
              <w:t>Alberta Machinery and Equipment Assessment Minister’s Guidelines</w:t>
            </w:r>
            <w:r w:rsidRPr="00F64C61">
              <w:t xml:space="preserve">.  </w:t>
            </w:r>
          </w:p>
        </w:tc>
      </w:tr>
    </w:tbl>
    <w:p w:rsidR="00A9637C" w:rsidRPr="00F64C61" w:rsidRDefault="00A9637C" w:rsidP="00A9637C"/>
    <w:p w:rsidR="003D4E8C" w:rsidRDefault="003D4E8C" w:rsidP="00A9637C">
      <w:pPr>
        <w:pStyle w:val="NoSpacing"/>
        <w:jc w:val="center"/>
        <w:rPr>
          <w:b/>
        </w:rPr>
      </w:pPr>
    </w:p>
    <w:p w:rsidR="003D4E8C" w:rsidRDefault="003D4E8C" w:rsidP="00A9637C">
      <w:pPr>
        <w:pStyle w:val="NoSpacing"/>
        <w:jc w:val="center"/>
        <w:rPr>
          <w:b/>
        </w:rPr>
      </w:pPr>
    </w:p>
    <w:p w:rsidR="003D4E8C" w:rsidRDefault="003D4E8C" w:rsidP="00A9637C">
      <w:pPr>
        <w:pStyle w:val="NoSpacing"/>
        <w:jc w:val="center"/>
        <w:rPr>
          <w:b/>
        </w:rPr>
      </w:pPr>
    </w:p>
    <w:p w:rsidR="00A9637C" w:rsidRPr="00F64C61" w:rsidRDefault="00A9637C" w:rsidP="00A9637C">
      <w:pPr>
        <w:pStyle w:val="NoSpacing"/>
        <w:jc w:val="center"/>
        <w:rPr>
          <w:b/>
        </w:rPr>
      </w:pPr>
      <w:r w:rsidRPr="00F64C61">
        <w:rPr>
          <w:b/>
        </w:rPr>
        <w:t>Part 1</w:t>
      </w:r>
    </w:p>
    <w:p w:rsidR="00A9637C" w:rsidRPr="00F64C61" w:rsidRDefault="00A9637C" w:rsidP="00A9637C">
      <w:pPr>
        <w:pStyle w:val="NoSpacing"/>
        <w:jc w:val="center"/>
        <w:rPr>
          <w:b/>
        </w:rPr>
      </w:pPr>
    </w:p>
    <w:p w:rsidR="00A9637C" w:rsidRPr="00F64C61" w:rsidRDefault="00A9637C" w:rsidP="00A9637C">
      <w:pPr>
        <w:pStyle w:val="NoSpacing"/>
        <w:jc w:val="center"/>
        <w:rPr>
          <w:b/>
        </w:rPr>
      </w:pPr>
      <w:r w:rsidRPr="00F64C61">
        <w:rPr>
          <w:b/>
        </w:rPr>
        <w:t>Reporting Requirements</w:t>
      </w:r>
    </w:p>
    <w:p w:rsidR="00771EC6" w:rsidRPr="00F64C61" w:rsidRDefault="00771EC6" w:rsidP="00A9637C">
      <w:pPr>
        <w:pStyle w:val="NoSpacing"/>
        <w:jc w:val="center"/>
        <w:rPr>
          <w:b/>
        </w:rPr>
      </w:pPr>
    </w:p>
    <w:tbl>
      <w:tblPr>
        <w:tblW w:w="8055" w:type="dxa"/>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5"/>
      </w:tblGrid>
      <w:tr w:rsidR="00500C90" w:rsidRPr="00F64C61" w:rsidTr="00500C90">
        <w:trPr>
          <w:trHeight w:val="1395"/>
        </w:trPr>
        <w:tc>
          <w:tcPr>
            <w:tcW w:w="8055" w:type="dxa"/>
          </w:tcPr>
          <w:p w:rsidR="00BF6240" w:rsidRPr="00F64C61" w:rsidRDefault="00A9637C" w:rsidP="003D4E8C">
            <w:pPr>
              <w:spacing w:before="120" w:after="0" w:line="240" w:lineRule="auto"/>
              <w:jc w:val="center"/>
              <w:rPr>
                <w:b/>
              </w:rPr>
            </w:pPr>
            <w:r w:rsidRPr="00F64C61">
              <w:rPr>
                <w:b/>
              </w:rPr>
              <w:t xml:space="preserve">Background: An </w:t>
            </w:r>
            <w:r w:rsidR="00500C90" w:rsidRPr="00F64C61">
              <w:rPr>
                <w:b/>
              </w:rPr>
              <w:t>Assessor’s Authority to Request Information</w:t>
            </w:r>
            <w:r w:rsidR="00BF6240" w:rsidRPr="00F64C61">
              <w:rPr>
                <w:b/>
              </w:rPr>
              <w:t xml:space="preserve"> </w:t>
            </w:r>
          </w:p>
          <w:p w:rsidR="00500C90" w:rsidRPr="00F64C61" w:rsidRDefault="00BF6240" w:rsidP="004A16CC">
            <w:pPr>
              <w:spacing w:after="0" w:line="240" w:lineRule="auto"/>
              <w:jc w:val="center"/>
              <w:rPr>
                <w:b/>
              </w:rPr>
            </w:pPr>
            <w:r w:rsidRPr="00F64C61">
              <w:rPr>
                <w:b/>
              </w:rPr>
              <w:t>and Each Assessed Person’s Duty to Respond</w:t>
            </w:r>
          </w:p>
          <w:p w:rsidR="004A16CC" w:rsidRPr="00F64C61" w:rsidRDefault="004A16CC" w:rsidP="003F4984">
            <w:pPr>
              <w:spacing w:after="0" w:line="240" w:lineRule="auto"/>
              <w:rPr>
                <w:b/>
              </w:rPr>
            </w:pPr>
          </w:p>
          <w:p w:rsidR="005D7088" w:rsidRPr="00F64C61" w:rsidRDefault="005D7088" w:rsidP="005D7088">
            <w:r w:rsidRPr="00F64C61">
              <w:t>Assessors request information for the purposes of preparing assessments or determining if a property is to be assessed.</w:t>
            </w:r>
          </w:p>
          <w:p w:rsidR="00500C90" w:rsidRPr="00F64C61" w:rsidRDefault="00500C90" w:rsidP="00500C90">
            <w:r w:rsidRPr="00F64C61">
              <w:t xml:space="preserve">Every assessed person has a statutory duty to provide information to </w:t>
            </w:r>
            <w:r w:rsidR="001F3855" w:rsidRPr="00F64C61">
              <w:t xml:space="preserve">the </w:t>
            </w:r>
            <w:r w:rsidRPr="00F64C61">
              <w:t>assessor</w:t>
            </w:r>
            <w:r w:rsidR="001F3855" w:rsidRPr="00F64C61">
              <w:t xml:space="preserve"> </w:t>
            </w:r>
            <w:r w:rsidR="005D7088" w:rsidRPr="00F64C61">
              <w:t xml:space="preserve">about </w:t>
            </w:r>
            <w:r w:rsidR="001F3855" w:rsidRPr="00F64C61">
              <w:t>the assessed person’s property</w:t>
            </w:r>
            <w:r w:rsidRPr="00F64C61">
              <w:t xml:space="preserve">.  </w:t>
            </w:r>
          </w:p>
          <w:p w:rsidR="00500C90" w:rsidRPr="00F64C61" w:rsidRDefault="00500C90" w:rsidP="00500C90">
            <w:r w:rsidRPr="00F64C61">
              <w:t xml:space="preserve">An assessed person who does not provide the information requested by an assessor in a </w:t>
            </w:r>
            <w:r w:rsidR="005D7088" w:rsidRPr="00F64C61">
              <w:t>r</w:t>
            </w:r>
            <w:r w:rsidRPr="00F64C61">
              <w:t xml:space="preserve">equest for </w:t>
            </w:r>
            <w:r w:rsidR="00FF3BD8" w:rsidRPr="00F64C61">
              <w:t>i</w:t>
            </w:r>
            <w:r w:rsidRPr="00F64C61">
              <w:t>nformation</w:t>
            </w:r>
            <w:r w:rsidR="005D7088" w:rsidRPr="00F64C61">
              <w:t xml:space="preserve">, within </w:t>
            </w:r>
            <w:r w:rsidRPr="00F64C61">
              <w:t>the statutory time frame</w:t>
            </w:r>
            <w:r w:rsidR="005D7088" w:rsidRPr="00F64C61">
              <w:t>,</w:t>
            </w:r>
            <w:r w:rsidRPr="00F64C61">
              <w:t xml:space="preserve"> gives up the right to file a complaint in respect of </w:t>
            </w:r>
            <w:r w:rsidR="005D7088" w:rsidRPr="00F64C61">
              <w:t xml:space="preserve">the </w:t>
            </w:r>
            <w:r w:rsidRPr="00F64C61">
              <w:t>assessed property</w:t>
            </w:r>
            <w:r w:rsidR="00C87009" w:rsidRPr="00F64C61">
              <w:t>.</w:t>
            </w:r>
          </w:p>
          <w:p w:rsidR="00500C90" w:rsidRPr="00F64C61" w:rsidRDefault="00500C90" w:rsidP="00500C90">
            <w:r w:rsidRPr="00F64C61">
              <w:t xml:space="preserve">Further, </w:t>
            </w:r>
            <w:r w:rsidR="009F0DEE" w:rsidRPr="00F64C61">
              <w:t xml:space="preserve">where an assessed person does not provide information </w:t>
            </w:r>
            <w:proofErr w:type="gramStart"/>
            <w:r w:rsidR="009F0DEE" w:rsidRPr="00F64C61">
              <w:t>requested,</w:t>
            </w:r>
            <w:proofErr w:type="gramEnd"/>
            <w:r w:rsidR="009F0DEE" w:rsidRPr="00F64C61">
              <w:t xml:space="preserve"> </w:t>
            </w:r>
            <w:r w:rsidRPr="00F64C61">
              <w:t>an assessor can make application to the Court of Queen’s</w:t>
            </w:r>
            <w:r w:rsidR="009F0DEE" w:rsidRPr="00F64C61">
              <w:t xml:space="preserve"> Bench for an order requiring an assessed </w:t>
            </w:r>
            <w:r w:rsidRPr="00F64C61">
              <w:t>person to produce</w:t>
            </w:r>
            <w:r w:rsidR="00C87009" w:rsidRPr="00F64C61">
              <w:t xml:space="preserve"> the </w:t>
            </w:r>
            <w:r w:rsidRPr="00F64C61">
              <w:t>information requested.</w:t>
            </w:r>
          </w:p>
          <w:p w:rsidR="00C20E5F" w:rsidRPr="00F64C61" w:rsidRDefault="00C20E5F" w:rsidP="00C20E5F">
            <w:pPr>
              <w:spacing w:after="100"/>
            </w:pPr>
            <w:r w:rsidRPr="00F64C61">
              <w:t xml:space="preserve">All information reported to or obtained by the assessor may be used for assessment purposes under Parts 9-12 of the </w:t>
            </w:r>
            <w:r w:rsidR="00023080" w:rsidRPr="00F64C61">
              <w:rPr>
                <w:i/>
              </w:rPr>
              <w:t>Municipal Government Act</w:t>
            </w:r>
            <w:r w:rsidRPr="00F64C61">
              <w:t xml:space="preserve">. </w:t>
            </w:r>
          </w:p>
          <w:p w:rsidR="00C20E5F" w:rsidRPr="00F64C61" w:rsidRDefault="00C20E5F" w:rsidP="002479F6">
            <w:pPr>
              <w:spacing w:after="100"/>
              <w:rPr>
                <w:i/>
              </w:rPr>
            </w:pPr>
            <w:r w:rsidRPr="00F64C61">
              <w:t>The information in the assessor’s possession is subject to access and confidentiality provisions</w:t>
            </w:r>
            <w:r w:rsidR="00B831E4" w:rsidRPr="00F64C61">
              <w:t xml:space="preserve">. The information also may be subject to </w:t>
            </w:r>
            <w:r w:rsidRPr="00F64C61">
              <w:t xml:space="preserve">the </w:t>
            </w:r>
            <w:r w:rsidRPr="00F64C61">
              <w:rPr>
                <w:i/>
              </w:rPr>
              <w:t>Freedom of Information and Protection of Privacy Act.</w:t>
            </w:r>
          </w:p>
          <w:p w:rsidR="00697323" w:rsidRPr="00F64C61" w:rsidRDefault="005D7088" w:rsidP="00B63A55">
            <w:pPr>
              <w:spacing w:after="100"/>
              <w:rPr>
                <w:color w:val="C00000"/>
              </w:rPr>
            </w:pPr>
            <w:r w:rsidRPr="00F64C61">
              <w:t xml:space="preserve">For details, refer to sections 294-301.1 of the </w:t>
            </w:r>
            <w:r w:rsidRPr="00F64C61">
              <w:rPr>
                <w:i/>
              </w:rPr>
              <w:t>Municipal Government Act</w:t>
            </w:r>
            <w:r w:rsidRPr="00F64C61">
              <w:t xml:space="preserve">. </w:t>
            </w:r>
          </w:p>
        </w:tc>
      </w:tr>
    </w:tbl>
    <w:p w:rsidR="00BF6240" w:rsidRPr="00F64C61" w:rsidRDefault="00553BE0" w:rsidP="00EC6F43">
      <w:pPr>
        <w:rPr>
          <w:b/>
        </w:rPr>
      </w:pPr>
      <w:r w:rsidRPr="00F64C61">
        <w:tab/>
      </w:r>
    </w:p>
    <w:p w:rsidR="00BF6240" w:rsidRPr="00F64C61" w:rsidRDefault="00BF6240" w:rsidP="00EC6F43">
      <w:pPr>
        <w:spacing w:after="0" w:line="240" w:lineRule="auto"/>
        <w:ind w:left="720" w:firstLine="720"/>
        <w:rPr>
          <w:b/>
        </w:rPr>
      </w:pPr>
      <w:r w:rsidRPr="00F64C61">
        <w:rPr>
          <w:b/>
        </w:rPr>
        <w:t>Definitions</w:t>
      </w:r>
    </w:p>
    <w:p w:rsidR="00BF6240" w:rsidRPr="00F64C61" w:rsidRDefault="00BF6240" w:rsidP="00BF6240">
      <w:pPr>
        <w:ind w:firstLine="720"/>
      </w:pPr>
      <w:r w:rsidRPr="00F64C61">
        <w:rPr>
          <w:b/>
        </w:rPr>
        <w:tab/>
      </w:r>
      <w:r w:rsidR="00EC6F43" w:rsidRPr="00F64C61">
        <w:rPr>
          <w:b/>
        </w:rPr>
        <w:t>4</w:t>
      </w:r>
      <w:r w:rsidRPr="00F64C61">
        <w:rPr>
          <w:b/>
        </w:rPr>
        <w:t xml:space="preserve"> </w:t>
      </w:r>
      <w:r w:rsidRPr="00F64C61">
        <w:t xml:space="preserve">In this </w:t>
      </w:r>
      <w:r w:rsidR="00305F86" w:rsidRPr="00F64C61">
        <w:t>P</w:t>
      </w:r>
      <w:r w:rsidRPr="00F64C61">
        <w:t>art</w:t>
      </w:r>
      <w:r w:rsidR="00305F86" w:rsidRPr="00F64C61">
        <w:t>,</w:t>
      </w:r>
    </w:p>
    <w:p w:rsidR="00BF6240" w:rsidRPr="00F64C61" w:rsidRDefault="00BF6240" w:rsidP="00160CAF">
      <w:pPr>
        <w:pStyle w:val="ListParagraph"/>
        <w:numPr>
          <w:ilvl w:val="0"/>
          <w:numId w:val="13"/>
        </w:numPr>
        <w:ind w:left="2160"/>
      </w:pPr>
      <w:r w:rsidRPr="003D4E8C">
        <w:t>“</w:t>
      </w:r>
      <w:r w:rsidR="000915CB" w:rsidRPr="003D4E8C">
        <w:t>RFI</w:t>
      </w:r>
      <w:r w:rsidRPr="003D4E8C">
        <w:t xml:space="preserve">” means </w:t>
      </w:r>
      <w:r w:rsidR="00F033FB" w:rsidRPr="003D4E8C">
        <w:t>any</w:t>
      </w:r>
      <w:r w:rsidRPr="003D4E8C">
        <w:t xml:space="preserve"> </w:t>
      </w:r>
      <w:r w:rsidR="000915CB" w:rsidRPr="003D4E8C">
        <w:t>request for information</w:t>
      </w:r>
      <w:r w:rsidR="000915CB" w:rsidRPr="00F64C61">
        <w:t xml:space="preserve"> </w:t>
      </w:r>
      <w:r w:rsidRPr="00F64C61">
        <w:t>made by the assessor to the assessed person to provide information requ</w:t>
      </w:r>
      <w:r w:rsidR="005F19AE" w:rsidRPr="00F64C61">
        <w:t xml:space="preserve">ired to prepare the assessment </w:t>
      </w:r>
      <w:r w:rsidRPr="00F64C61">
        <w:t>under sections 294 and 295 of the Act;</w:t>
      </w:r>
    </w:p>
    <w:p w:rsidR="00AE73F3" w:rsidRPr="00F64C61" w:rsidRDefault="00AE73F3" w:rsidP="00160CAF">
      <w:pPr>
        <w:pStyle w:val="ListParagraph"/>
        <w:ind w:left="2160"/>
      </w:pPr>
    </w:p>
    <w:p w:rsidR="00AE73F3" w:rsidRPr="00F64C61" w:rsidRDefault="00AE73F3" w:rsidP="00160CAF">
      <w:pPr>
        <w:pStyle w:val="ListParagraph"/>
        <w:numPr>
          <w:ilvl w:val="0"/>
          <w:numId w:val="13"/>
        </w:numPr>
        <w:ind w:left="2160"/>
      </w:pPr>
      <w:r w:rsidRPr="00F64C61">
        <w:t xml:space="preserve">“incurred”, with respect to </w:t>
      </w:r>
      <w:r w:rsidR="009B7994" w:rsidRPr="00F64C61">
        <w:t>a</w:t>
      </w:r>
      <w:r w:rsidR="00371E5D" w:rsidRPr="00F64C61">
        <w:t xml:space="preserve"> direct</w:t>
      </w:r>
      <w:r w:rsidR="009B7994" w:rsidRPr="00F64C61">
        <w:t xml:space="preserve"> cost</w:t>
      </w:r>
      <w:r w:rsidRPr="00F64C61">
        <w:t xml:space="preserve">, means a cost for </w:t>
      </w:r>
      <w:r w:rsidR="005257DE" w:rsidRPr="00F64C61">
        <w:t xml:space="preserve">labour </w:t>
      </w:r>
      <w:r w:rsidRPr="00F64C61">
        <w:t>that was performed</w:t>
      </w:r>
      <w:r w:rsidR="0000168E" w:rsidRPr="00F64C61">
        <w:t xml:space="preserve"> or </w:t>
      </w:r>
      <w:r w:rsidR="006D47D8" w:rsidRPr="00F64C61">
        <w:t xml:space="preserve">for materials that </w:t>
      </w:r>
      <w:r w:rsidR="003C6BBF" w:rsidRPr="00F64C61">
        <w:t>was</w:t>
      </w:r>
      <w:r w:rsidR="006D47D8" w:rsidRPr="00F64C61">
        <w:t xml:space="preserve"> provided or otherwise </w:t>
      </w:r>
      <w:r w:rsidR="006623A6" w:rsidRPr="00F64C61">
        <w:t xml:space="preserve">acquired </w:t>
      </w:r>
      <w:r w:rsidRPr="00F64C61">
        <w:t>during the assessment year</w:t>
      </w:r>
      <w:r w:rsidR="00EC4EAF" w:rsidRPr="00F64C61">
        <w:t>;</w:t>
      </w:r>
    </w:p>
    <w:p w:rsidR="001A347C" w:rsidRPr="00F64C61" w:rsidRDefault="001A347C" w:rsidP="001A347C">
      <w:pPr>
        <w:pStyle w:val="ListParagraph"/>
      </w:pPr>
    </w:p>
    <w:p w:rsidR="00BF6240" w:rsidRPr="00F64C61" w:rsidRDefault="00BF6240" w:rsidP="00160CAF">
      <w:pPr>
        <w:pStyle w:val="ListParagraph"/>
        <w:numPr>
          <w:ilvl w:val="0"/>
          <w:numId w:val="13"/>
        </w:numPr>
        <w:ind w:left="2160"/>
      </w:pPr>
      <w:r w:rsidRPr="00F64C61">
        <w:t>“supporting documentation” means any</w:t>
      </w:r>
      <w:r w:rsidR="00C90EA6" w:rsidRPr="00F64C61">
        <w:t xml:space="preserve"> documentary</w:t>
      </w:r>
      <w:r w:rsidRPr="00F64C61">
        <w:t xml:space="preserve"> information that  substantiates </w:t>
      </w:r>
      <w:r w:rsidR="000078F4" w:rsidRPr="00F64C61">
        <w:t>a</w:t>
      </w:r>
      <w:r w:rsidRPr="00F64C61">
        <w:t xml:space="preserve"> project </w:t>
      </w:r>
      <w:r w:rsidR="00806B9C" w:rsidRPr="00F64C61">
        <w:t xml:space="preserve">activity </w:t>
      </w:r>
      <w:r w:rsidRPr="00F64C61">
        <w:t>cost and includes, but is not limited to, copies of feasibility studies, quantity adjusted budget</w:t>
      </w:r>
      <w:r w:rsidR="001D2362" w:rsidRPr="00F64C61">
        <w:t>s</w:t>
      </w:r>
      <w:r w:rsidRPr="00F64C61">
        <w:t>, design basis memorandum</w:t>
      </w:r>
      <w:r w:rsidR="001D2362" w:rsidRPr="00F64C61">
        <w:t>s</w:t>
      </w:r>
      <w:r w:rsidRPr="00F64C61">
        <w:t>, authorizations for expenditure, engineering design specifications, plot plans, process flow diagrams, change orders, project close out reports, wage rate breakdown</w:t>
      </w:r>
      <w:r w:rsidR="00D3593D" w:rsidRPr="00F64C61">
        <w:t>s, and invoices</w:t>
      </w:r>
      <w:r w:rsidRPr="00F64C61">
        <w:t>.</w:t>
      </w:r>
    </w:p>
    <w:p w:rsidR="00035676" w:rsidRPr="00F64C61" w:rsidRDefault="00295724" w:rsidP="00EC6F43">
      <w:pPr>
        <w:spacing w:after="0" w:line="240" w:lineRule="auto"/>
        <w:ind w:left="720" w:firstLine="720"/>
        <w:rPr>
          <w:b/>
        </w:rPr>
      </w:pPr>
      <w:r w:rsidRPr="00F64C61">
        <w:rPr>
          <w:b/>
        </w:rPr>
        <w:t>Reporting of</w:t>
      </w:r>
      <w:r w:rsidR="00EB34D1" w:rsidRPr="00F64C61">
        <w:rPr>
          <w:b/>
        </w:rPr>
        <w:t xml:space="preserve"> </w:t>
      </w:r>
      <w:r w:rsidR="008965CA" w:rsidRPr="00F64C61">
        <w:rPr>
          <w:b/>
        </w:rPr>
        <w:t>i</w:t>
      </w:r>
      <w:r w:rsidR="00EB34D1" w:rsidRPr="00F64C61">
        <w:rPr>
          <w:b/>
        </w:rPr>
        <w:t>nformation</w:t>
      </w:r>
    </w:p>
    <w:p w:rsidR="00B65CB4" w:rsidRDefault="00EC6F43" w:rsidP="003A5333">
      <w:pPr>
        <w:ind w:left="1440"/>
      </w:pPr>
      <w:r w:rsidRPr="00F64C61">
        <w:rPr>
          <w:b/>
        </w:rPr>
        <w:t>5</w:t>
      </w:r>
      <w:r w:rsidR="00035676" w:rsidRPr="00F64C61">
        <w:t xml:space="preserve">(1)   The assessor must </w:t>
      </w:r>
      <w:r w:rsidR="00A07E54" w:rsidRPr="00F64C61">
        <w:t>send</w:t>
      </w:r>
      <w:r w:rsidR="00035676" w:rsidRPr="00F64C61">
        <w:t xml:space="preserve"> </w:t>
      </w:r>
      <w:r w:rsidR="000915CB" w:rsidRPr="003C5072">
        <w:t>an</w:t>
      </w:r>
      <w:r w:rsidR="000915CB" w:rsidRPr="00F64C61">
        <w:t xml:space="preserve"> RFI</w:t>
      </w:r>
      <w:r w:rsidR="00035676" w:rsidRPr="00F64C61">
        <w:t xml:space="preserve"> </w:t>
      </w:r>
      <w:r w:rsidR="00A07E54" w:rsidRPr="00F64C61">
        <w:t xml:space="preserve">requesting </w:t>
      </w:r>
      <w:r w:rsidR="00EB34D1" w:rsidRPr="00F64C61">
        <w:t>t</w:t>
      </w:r>
      <w:r w:rsidR="00414D8D" w:rsidRPr="00F64C61">
        <w:t xml:space="preserve">otal </w:t>
      </w:r>
      <w:r w:rsidR="00EB34D1" w:rsidRPr="00F64C61">
        <w:t>p</w:t>
      </w:r>
      <w:r w:rsidR="00414D8D" w:rsidRPr="00F64C61">
        <w:t xml:space="preserve">roject </w:t>
      </w:r>
      <w:r w:rsidR="00EB34D1" w:rsidRPr="00F64C61">
        <w:t>c</w:t>
      </w:r>
      <w:r w:rsidR="00414D8D" w:rsidRPr="00F64C61">
        <w:t>osts</w:t>
      </w:r>
      <w:r w:rsidR="008B423C" w:rsidRPr="00F64C61">
        <w:t xml:space="preserve"> in respect of </w:t>
      </w:r>
      <w:r w:rsidR="0081457D" w:rsidRPr="00F64C61">
        <w:t>the assessed</w:t>
      </w:r>
      <w:r w:rsidR="008B423C" w:rsidRPr="00F64C61">
        <w:t xml:space="preserve"> property</w:t>
      </w:r>
      <w:r w:rsidR="00B65CB4" w:rsidRPr="00F64C61">
        <w:t>,</w:t>
      </w:r>
      <w:r w:rsidR="00414D8D" w:rsidRPr="00F64C61">
        <w:t xml:space="preserve"> </w:t>
      </w:r>
      <w:r w:rsidR="00035676" w:rsidRPr="00F64C61">
        <w:t>in writing</w:t>
      </w:r>
      <w:r w:rsidR="00B65CB4" w:rsidRPr="00F64C61">
        <w:t>,</w:t>
      </w:r>
      <w:r w:rsidR="00035676" w:rsidRPr="00F64C61">
        <w:t xml:space="preserve"> to the assessed person</w:t>
      </w:r>
      <w:r w:rsidR="007A0DAE" w:rsidRPr="00F64C61">
        <w:t xml:space="preserve"> </w:t>
      </w:r>
      <w:r w:rsidR="00DD3F9E" w:rsidRPr="00F64C61">
        <w:t>after</w:t>
      </w:r>
      <w:r w:rsidR="00035676" w:rsidRPr="00F64C61">
        <w:t xml:space="preserve"> a project has begun, and annually thereafter.  </w:t>
      </w:r>
    </w:p>
    <w:tbl>
      <w:tblPr>
        <w:tblStyle w:val="TableGrid"/>
        <w:tblW w:w="0" w:type="auto"/>
        <w:tblInd w:w="1440" w:type="dxa"/>
        <w:tblLook w:val="04A0" w:firstRow="1" w:lastRow="0" w:firstColumn="1" w:lastColumn="0" w:noHBand="0" w:noVBand="1"/>
      </w:tblPr>
      <w:tblGrid>
        <w:gridCol w:w="8136"/>
      </w:tblGrid>
      <w:tr w:rsidR="003D4E8C" w:rsidTr="003D4E8C">
        <w:tc>
          <w:tcPr>
            <w:tcW w:w="9576" w:type="dxa"/>
          </w:tcPr>
          <w:p w:rsidR="003D4E8C" w:rsidRDefault="003D4E8C" w:rsidP="00A56B8F">
            <w:pPr>
              <w:spacing w:before="120" w:after="120" w:line="276" w:lineRule="auto"/>
            </w:pPr>
            <w:r w:rsidRPr="003D4E8C">
              <w:t xml:space="preserve">Projects assessed using these guidelines vary in scope and scale. The </w:t>
            </w:r>
            <w:r w:rsidR="00A56B8F">
              <w:t>a</w:t>
            </w:r>
            <w:r w:rsidRPr="003D4E8C">
              <w:t xml:space="preserve">ssessor may require subsequent detail or clarification of submitted information in order to prepare the assessment. RFI refers to the initial and any subsequent request for information made by the </w:t>
            </w:r>
            <w:r w:rsidR="00A56B8F">
              <w:t>a</w:t>
            </w:r>
            <w:r w:rsidRPr="003D4E8C">
              <w:t xml:space="preserve">ssessor to the </w:t>
            </w:r>
            <w:r w:rsidR="00A56B8F">
              <w:t>a</w:t>
            </w:r>
            <w:r w:rsidRPr="003D4E8C">
              <w:t xml:space="preserve">ssessed </w:t>
            </w:r>
            <w:r w:rsidR="00A56B8F">
              <w:t>p</w:t>
            </w:r>
            <w:r w:rsidRPr="003D4E8C">
              <w:t>erson for information on the property in question.</w:t>
            </w:r>
          </w:p>
        </w:tc>
      </w:tr>
    </w:tbl>
    <w:p w:rsidR="005702E9" w:rsidRPr="00F64C61" w:rsidRDefault="00035676" w:rsidP="003D4E8C">
      <w:pPr>
        <w:spacing w:before="200"/>
        <w:ind w:left="1440"/>
        <w:rPr>
          <w:lang w:val="en-US"/>
        </w:rPr>
      </w:pPr>
      <w:r w:rsidRPr="00F64C61">
        <w:t xml:space="preserve">(2)   The assessed person must </w:t>
      </w:r>
      <w:r w:rsidR="001A347C" w:rsidRPr="00F64C61">
        <w:t xml:space="preserve">provide a report to the assessor </w:t>
      </w:r>
      <w:r w:rsidR="00394D9D" w:rsidRPr="00F64C61">
        <w:rPr>
          <w:lang w:val="en-US"/>
        </w:rPr>
        <w:t xml:space="preserve">prepared in accordance with </w:t>
      </w:r>
      <w:r w:rsidR="00614E11" w:rsidRPr="00F64C61">
        <w:rPr>
          <w:lang w:val="en-US"/>
        </w:rPr>
        <w:t>this Part</w:t>
      </w:r>
      <w:r w:rsidR="00394D9D" w:rsidRPr="00F64C61">
        <w:rPr>
          <w:lang w:val="en-US"/>
        </w:rPr>
        <w:t xml:space="preserve">. </w:t>
      </w:r>
    </w:p>
    <w:p w:rsidR="005702E9" w:rsidRPr="00F64C61" w:rsidRDefault="005702E9" w:rsidP="00414D8D">
      <w:pPr>
        <w:ind w:left="1440"/>
      </w:pPr>
      <w:r w:rsidRPr="00F64C61">
        <w:t>(</w:t>
      </w:r>
      <w:r w:rsidR="00502D60" w:rsidRPr="00F64C61">
        <w:t>3</w:t>
      </w:r>
      <w:r w:rsidRPr="00F64C61">
        <w:t xml:space="preserve">) </w:t>
      </w:r>
      <w:r w:rsidR="00EF468D" w:rsidRPr="00F64C61">
        <w:t xml:space="preserve">The </w:t>
      </w:r>
      <w:r w:rsidR="005E7569" w:rsidRPr="00F64C61">
        <w:t xml:space="preserve">report </w:t>
      </w:r>
      <w:r w:rsidR="00EF468D" w:rsidRPr="00F64C61">
        <w:t>by the assessed person must be in a form and format acceptable to the assessor</w:t>
      </w:r>
      <w:r w:rsidR="00FB1D16" w:rsidRPr="00F64C61">
        <w:t>, with sufficient detail</w:t>
      </w:r>
      <w:r w:rsidR="00EF468D" w:rsidRPr="00F64C61">
        <w:t xml:space="preserve"> that ensu</w:t>
      </w:r>
      <w:r w:rsidR="00FB1D16" w:rsidRPr="00F64C61">
        <w:t xml:space="preserve">res the accurate level of detail for the purposes of ascertaining </w:t>
      </w:r>
      <w:r w:rsidR="00CB0A1A" w:rsidRPr="00F64C61">
        <w:t xml:space="preserve">total </w:t>
      </w:r>
      <w:r w:rsidR="0081457D" w:rsidRPr="00F64C61">
        <w:t xml:space="preserve">project </w:t>
      </w:r>
      <w:r w:rsidR="00FB1D16" w:rsidRPr="00F64C61">
        <w:t>costs</w:t>
      </w:r>
      <w:r w:rsidR="001D1A97" w:rsidRPr="00F64C61">
        <w:t xml:space="preserve">. </w:t>
      </w:r>
    </w:p>
    <w:p w:rsidR="00E92113" w:rsidRPr="00F64C61" w:rsidRDefault="00E92113" w:rsidP="00E92113">
      <w:pPr>
        <w:ind w:left="1440"/>
      </w:pPr>
      <w:r w:rsidRPr="00F64C61">
        <w:t>(</w:t>
      </w:r>
      <w:r w:rsidR="00502D60" w:rsidRPr="00F64C61">
        <w:t>4</w:t>
      </w:r>
      <w:r w:rsidRPr="00F64C61">
        <w:t xml:space="preserve">) Where the assessed person is a corporation, a </w:t>
      </w:r>
      <w:r w:rsidR="00CC1DA2" w:rsidRPr="00F64C61">
        <w:t xml:space="preserve">report </w:t>
      </w:r>
      <w:r w:rsidRPr="00F64C61">
        <w:t xml:space="preserve">sent to the assessor by any person on behalf of the corporation, must indicate that the person has been duly authorized to provide the </w:t>
      </w:r>
      <w:r w:rsidR="00551EC0" w:rsidRPr="00F64C61">
        <w:t>report</w:t>
      </w:r>
      <w:r w:rsidRPr="00F64C61">
        <w:t xml:space="preserve">. </w:t>
      </w:r>
    </w:p>
    <w:p w:rsidR="00E92113" w:rsidRPr="00F64C61" w:rsidRDefault="00E92113" w:rsidP="00E92113">
      <w:pPr>
        <w:ind w:left="1440"/>
      </w:pPr>
      <w:r w:rsidRPr="00F64C61">
        <w:t>(</w:t>
      </w:r>
      <w:r w:rsidR="00502D60" w:rsidRPr="00F64C61">
        <w:t>5</w:t>
      </w:r>
      <w:r w:rsidRPr="00F64C61">
        <w:t xml:space="preserve">) A </w:t>
      </w:r>
      <w:r w:rsidR="000C6B6D" w:rsidRPr="00F64C61">
        <w:t>report</w:t>
      </w:r>
      <w:r w:rsidRPr="00F64C61">
        <w:t xml:space="preserve"> provided in accordance with subsection (</w:t>
      </w:r>
      <w:r w:rsidR="00502D60" w:rsidRPr="00F64C61">
        <w:t>4</w:t>
      </w:r>
      <w:r w:rsidRPr="00F64C61">
        <w:t xml:space="preserve">) is deemed to have been provided to the assessor by a person duly authorized by the corporation. </w:t>
      </w:r>
    </w:p>
    <w:tbl>
      <w:tblPr>
        <w:tblStyle w:val="TableGrid"/>
        <w:tblW w:w="0" w:type="auto"/>
        <w:tblInd w:w="1440" w:type="dxa"/>
        <w:tblLook w:val="04A0" w:firstRow="1" w:lastRow="0" w:firstColumn="1" w:lastColumn="0" w:noHBand="0" w:noVBand="1"/>
      </w:tblPr>
      <w:tblGrid>
        <w:gridCol w:w="8136"/>
      </w:tblGrid>
      <w:tr w:rsidR="0080566E" w:rsidRPr="00F64C61" w:rsidTr="00083594">
        <w:tc>
          <w:tcPr>
            <w:tcW w:w="8136" w:type="dxa"/>
          </w:tcPr>
          <w:p w:rsidR="0080566E" w:rsidRPr="00F64C61" w:rsidRDefault="0080566E" w:rsidP="003D4E8C">
            <w:pPr>
              <w:spacing w:before="120" w:after="120"/>
            </w:pPr>
            <w:r w:rsidRPr="00F64C61">
              <w:rPr>
                <w:lang w:val="en-US"/>
              </w:rPr>
              <w:t>While accounting rules separate operating and capital costs, regulated assessment rules are different. Some of the costs that accounting rules consider to be operating costs are assessable according to regulated assessment rules, while some of the costs that accounting rules consider to be capital costs are not assessable according to regulated assessment rules.</w:t>
            </w:r>
            <w:r w:rsidR="00303964" w:rsidRPr="00F64C61">
              <w:rPr>
                <w:lang w:val="en-US"/>
              </w:rPr>
              <w:t xml:space="preserve"> </w:t>
            </w:r>
            <w:r w:rsidR="00022F0B" w:rsidRPr="00F64C61">
              <w:rPr>
                <w:lang w:val="en-US"/>
              </w:rPr>
              <w:t xml:space="preserve">Since an assessor must </w:t>
            </w:r>
            <w:r w:rsidR="00C85B57" w:rsidRPr="00F64C61">
              <w:rPr>
                <w:lang w:val="en-US"/>
              </w:rPr>
              <w:t>analyze</w:t>
            </w:r>
            <w:r w:rsidR="00022F0B" w:rsidRPr="00F64C61">
              <w:rPr>
                <w:lang w:val="en-US"/>
              </w:rPr>
              <w:t xml:space="preserve"> each cost</w:t>
            </w:r>
            <w:r w:rsidR="0098539D" w:rsidRPr="00F64C61">
              <w:rPr>
                <w:lang w:val="en-US"/>
              </w:rPr>
              <w:t xml:space="preserve"> according to these </w:t>
            </w:r>
            <w:r w:rsidR="002B21E0" w:rsidRPr="00F64C61">
              <w:rPr>
                <w:lang w:val="en-US"/>
              </w:rPr>
              <w:t>G</w:t>
            </w:r>
            <w:r w:rsidR="0098539D" w:rsidRPr="00F64C61">
              <w:rPr>
                <w:lang w:val="en-US"/>
              </w:rPr>
              <w:t>uidelines</w:t>
            </w:r>
            <w:r w:rsidR="00303964" w:rsidRPr="00F64C61">
              <w:rPr>
                <w:lang w:val="en-US"/>
              </w:rPr>
              <w:t xml:space="preserve">, reporting of all </w:t>
            </w:r>
            <w:r w:rsidR="00022F0B" w:rsidRPr="00F64C61">
              <w:rPr>
                <w:lang w:val="en-US"/>
              </w:rPr>
              <w:t xml:space="preserve">costs </w:t>
            </w:r>
            <w:r w:rsidR="00303964" w:rsidRPr="00F64C61">
              <w:rPr>
                <w:lang w:val="en-US"/>
              </w:rPr>
              <w:t xml:space="preserve">relating to a </w:t>
            </w:r>
            <w:r w:rsidR="004416A8" w:rsidRPr="00F64C61">
              <w:rPr>
                <w:lang w:val="en-US"/>
              </w:rPr>
              <w:t>project</w:t>
            </w:r>
            <w:r w:rsidR="0052792B" w:rsidRPr="00F64C61">
              <w:rPr>
                <w:lang w:val="en-US"/>
              </w:rPr>
              <w:t>, be it a construction or alteration project,</w:t>
            </w:r>
            <w:r w:rsidR="00303964" w:rsidRPr="00F64C61">
              <w:rPr>
                <w:lang w:val="en-US"/>
              </w:rPr>
              <w:t xml:space="preserve"> is required. </w:t>
            </w:r>
          </w:p>
        </w:tc>
      </w:tr>
    </w:tbl>
    <w:p w:rsidR="00295724" w:rsidRPr="00F64C61" w:rsidRDefault="0048771B" w:rsidP="003D4E8C">
      <w:pPr>
        <w:spacing w:before="240" w:after="0" w:line="240" w:lineRule="auto"/>
        <w:ind w:left="720" w:firstLine="720"/>
        <w:rPr>
          <w:b/>
        </w:rPr>
      </w:pPr>
      <w:r w:rsidRPr="00F64C61">
        <w:rPr>
          <w:b/>
        </w:rPr>
        <w:t>Reporting</w:t>
      </w:r>
      <w:r w:rsidR="00C9402D" w:rsidRPr="00F64C61">
        <w:rPr>
          <w:b/>
        </w:rPr>
        <w:t xml:space="preserve"> </w:t>
      </w:r>
      <w:r w:rsidR="00C14E16" w:rsidRPr="00F64C61">
        <w:rPr>
          <w:b/>
        </w:rPr>
        <w:t>t</w:t>
      </w:r>
      <w:r w:rsidR="00295724" w:rsidRPr="00F64C61">
        <w:rPr>
          <w:b/>
        </w:rPr>
        <w:t xml:space="preserve">otal </w:t>
      </w:r>
      <w:r w:rsidR="00C14E16" w:rsidRPr="00F64C61">
        <w:rPr>
          <w:b/>
        </w:rPr>
        <w:t>p</w:t>
      </w:r>
      <w:r w:rsidR="00295724" w:rsidRPr="00F64C61">
        <w:rPr>
          <w:b/>
        </w:rPr>
        <w:t xml:space="preserve">roject </w:t>
      </w:r>
      <w:r w:rsidR="00C14E16" w:rsidRPr="00F64C61">
        <w:rPr>
          <w:b/>
        </w:rPr>
        <w:t>c</w:t>
      </w:r>
      <w:r w:rsidR="00295724" w:rsidRPr="00F64C61">
        <w:rPr>
          <w:b/>
        </w:rPr>
        <w:t>osts</w:t>
      </w:r>
    </w:p>
    <w:p w:rsidR="00614E11" w:rsidRPr="00F64C61" w:rsidRDefault="00765626" w:rsidP="0055755B">
      <w:pPr>
        <w:ind w:left="1440"/>
        <w:rPr>
          <w:lang w:val="en-US"/>
        </w:rPr>
      </w:pPr>
      <w:r w:rsidRPr="00F64C61">
        <w:rPr>
          <w:b/>
        </w:rPr>
        <w:t>6</w:t>
      </w:r>
      <w:r w:rsidR="004A05A8" w:rsidRPr="00F64C61">
        <w:t xml:space="preserve">(1) </w:t>
      </w:r>
      <w:r w:rsidR="00725900" w:rsidRPr="00F64C61">
        <w:rPr>
          <w:lang w:val="en-US"/>
        </w:rPr>
        <w:t xml:space="preserve">Total project costs must be reported on an annual basis reflective of the year in which the cost was incurred. </w:t>
      </w:r>
    </w:p>
    <w:p w:rsidR="00614E11" w:rsidRPr="00F64C61" w:rsidRDefault="00614E11" w:rsidP="00E47F35">
      <w:pPr>
        <w:ind w:left="1440"/>
      </w:pPr>
      <w:r w:rsidRPr="00F64C61">
        <w:rPr>
          <w:lang w:val="en-US"/>
        </w:rPr>
        <w:t>(</w:t>
      </w:r>
      <w:r w:rsidR="000434F7" w:rsidRPr="00F64C61">
        <w:rPr>
          <w:lang w:val="en-US"/>
        </w:rPr>
        <w:t>2</w:t>
      </w:r>
      <w:r w:rsidRPr="00F64C61">
        <w:rPr>
          <w:lang w:val="en-US"/>
        </w:rPr>
        <w:t>) The assessed person must provide supporting documentation for total project costs provided in the report.</w:t>
      </w:r>
    </w:p>
    <w:tbl>
      <w:tblPr>
        <w:tblStyle w:val="TableGrid"/>
        <w:tblW w:w="0" w:type="auto"/>
        <w:tblInd w:w="1458" w:type="dxa"/>
        <w:tblLook w:val="04A0" w:firstRow="1" w:lastRow="0" w:firstColumn="1" w:lastColumn="0" w:noHBand="0" w:noVBand="1"/>
      </w:tblPr>
      <w:tblGrid>
        <w:gridCol w:w="8118"/>
      </w:tblGrid>
      <w:tr w:rsidR="00F232FC" w:rsidRPr="00F64C61" w:rsidTr="00F232FC">
        <w:tc>
          <w:tcPr>
            <w:tcW w:w="8118" w:type="dxa"/>
          </w:tcPr>
          <w:p w:rsidR="007E2C22" w:rsidRPr="00F64C61" w:rsidRDefault="00F232FC" w:rsidP="003A213C">
            <w:pPr>
              <w:spacing w:before="120" w:after="120"/>
              <w:rPr>
                <w:b/>
              </w:rPr>
            </w:pPr>
            <w:r w:rsidRPr="00F64C61">
              <w:rPr>
                <w:lang w:val="en-US"/>
              </w:rPr>
              <w:t xml:space="preserve">In case of doubt about whether costs should be considered to be part of the total project costs, </w:t>
            </w:r>
            <w:r w:rsidR="0037388A" w:rsidRPr="00F64C61">
              <w:rPr>
                <w:lang w:val="en-US"/>
              </w:rPr>
              <w:t>a</w:t>
            </w:r>
            <w:r w:rsidRPr="00F64C61">
              <w:rPr>
                <w:lang w:val="en-US"/>
              </w:rPr>
              <w:t xml:space="preserve"> cost of a type referred to in this </w:t>
            </w:r>
            <w:r w:rsidR="00AC7E01" w:rsidRPr="00F64C61">
              <w:rPr>
                <w:lang w:val="en-US"/>
              </w:rPr>
              <w:t>Guideline</w:t>
            </w:r>
            <w:r w:rsidRPr="00F64C61">
              <w:rPr>
                <w:lang w:val="en-US"/>
              </w:rPr>
              <w:t>, which may be included or excluded, must be reported.</w:t>
            </w:r>
          </w:p>
        </w:tc>
      </w:tr>
    </w:tbl>
    <w:p w:rsidR="009231BD" w:rsidRPr="00F64C61" w:rsidRDefault="009231BD" w:rsidP="009231BD">
      <w:pPr>
        <w:spacing w:before="120" w:after="120"/>
        <w:ind w:left="1440"/>
      </w:pPr>
      <w:r w:rsidRPr="00F64C61">
        <w:t>(</w:t>
      </w:r>
      <w:r w:rsidR="0098740D" w:rsidRPr="00F64C61">
        <w:t>3</w:t>
      </w:r>
      <w:r w:rsidRPr="00F64C61">
        <w:t xml:space="preserve">) For the purposes of </w:t>
      </w:r>
      <w:r w:rsidR="00F6029A" w:rsidRPr="00F64C61">
        <w:t xml:space="preserve">preparing </w:t>
      </w:r>
      <w:r w:rsidR="00F9511E" w:rsidRPr="00F64C61">
        <w:t>a report</w:t>
      </w:r>
      <w:r w:rsidRPr="00F64C61">
        <w:t>, the assessed person may</w:t>
      </w:r>
      <w:r w:rsidR="00CB12B4" w:rsidRPr="00F64C61">
        <w:t xml:space="preserve"> separate</w:t>
      </w:r>
      <w:r w:rsidRPr="00F64C61">
        <w:t xml:space="preserve"> costs</w:t>
      </w:r>
      <w:r w:rsidR="00FD7FA2" w:rsidRPr="00F64C61">
        <w:t xml:space="preserve"> reported under this </w:t>
      </w:r>
      <w:r w:rsidR="00A56B8F">
        <w:t>p</w:t>
      </w:r>
      <w:r w:rsidR="00FD7FA2" w:rsidRPr="00F64C61">
        <w:t>art</w:t>
      </w:r>
      <w:r w:rsidRPr="00F64C61">
        <w:t xml:space="preserve"> into the following categories:</w:t>
      </w:r>
    </w:p>
    <w:p w:rsidR="009231BD" w:rsidRPr="00F64C61" w:rsidRDefault="009231BD" w:rsidP="009231BD">
      <w:pPr>
        <w:pStyle w:val="ListParagraph"/>
        <w:numPr>
          <w:ilvl w:val="0"/>
          <w:numId w:val="17"/>
        </w:numPr>
      </w:pPr>
      <w:r w:rsidRPr="00F64C61">
        <w:t>land,</w:t>
      </w:r>
    </w:p>
    <w:p w:rsidR="009231BD" w:rsidRPr="00F64C61" w:rsidRDefault="00F6029A" w:rsidP="009231BD">
      <w:pPr>
        <w:pStyle w:val="ListParagraph"/>
        <w:numPr>
          <w:ilvl w:val="0"/>
          <w:numId w:val="17"/>
        </w:numPr>
      </w:pPr>
      <w:r w:rsidRPr="00F64C61">
        <w:t xml:space="preserve">buildings and </w:t>
      </w:r>
      <w:r w:rsidR="009231BD" w:rsidRPr="00F64C61">
        <w:t>struc</w:t>
      </w:r>
      <w:r w:rsidR="00217B2C" w:rsidRPr="00F64C61">
        <w:t xml:space="preserve">tures, </w:t>
      </w:r>
      <w:r w:rsidR="009231BD" w:rsidRPr="00F64C61">
        <w:t xml:space="preserve"> </w:t>
      </w:r>
    </w:p>
    <w:p w:rsidR="00D058B9" w:rsidRPr="00F64C61" w:rsidRDefault="009231BD" w:rsidP="009231BD">
      <w:pPr>
        <w:pStyle w:val="ListParagraph"/>
        <w:numPr>
          <w:ilvl w:val="0"/>
          <w:numId w:val="17"/>
        </w:numPr>
      </w:pPr>
      <w:r w:rsidRPr="00F64C61">
        <w:t xml:space="preserve">machinery and equipment, </w:t>
      </w:r>
      <w:r w:rsidR="00D058B9" w:rsidRPr="00F64C61">
        <w:t>and</w:t>
      </w:r>
    </w:p>
    <w:p w:rsidR="009231BD" w:rsidRPr="00F64C61" w:rsidRDefault="00217B2C" w:rsidP="009231BD">
      <w:pPr>
        <w:pStyle w:val="ListParagraph"/>
        <w:numPr>
          <w:ilvl w:val="0"/>
          <w:numId w:val="17"/>
        </w:numPr>
      </w:pPr>
      <w:proofErr w:type="gramStart"/>
      <w:r w:rsidRPr="00F64C61">
        <w:t>linear</w:t>
      </w:r>
      <w:proofErr w:type="gramEnd"/>
      <w:r w:rsidRPr="00F64C61">
        <w:t xml:space="preserve"> property</w:t>
      </w:r>
      <w:r w:rsidR="00D058B9" w:rsidRPr="00F64C61">
        <w:t>.</w:t>
      </w:r>
      <w:r w:rsidRPr="00F64C61">
        <w:t xml:space="preserve"> </w:t>
      </w:r>
    </w:p>
    <w:p w:rsidR="009773E6" w:rsidRPr="00F64C61" w:rsidRDefault="006D252E" w:rsidP="00945736">
      <w:pPr>
        <w:spacing w:after="100"/>
      </w:pPr>
      <w:r w:rsidRPr="00F64C61">
        <w:rPr>
          <w:b/>
          <w:lang w:val="en-US"/>
        </w:rPr>
        <w:tab/>
      </w:r>
      <w:r w:rsidR="00945736" w:rsidRPr="00F64C61">
        <w:rPr>
          <w:b/>
          <w:lang w:val="en-US"/>
        </w:rPr>
        <w:tab/>
      </w:r>
      <w:r w:rsidR="00866B48" w:rsidRPr="00F64C61">
        <w:t>(4)</w:t>
      </w:r>
      <w:r w:rsidR="003142D9" w:rsidRPr="00F64C61">
        <w:t xml:space="preserve"> </w:t>
      </w:r>
      <w:r w:rsidR="001C0D2E" w:rsidRPr="00F64C61">
        <w:t>I</w:t>
      </w:r>
      <w:r w:rsidR="009773E6" w:rsidRPr="00F64C61">
        <w:t xml:space="preserve">ndirect costs </w:t>
      </w:r>
      <w:r w:rsidR="001C0D2E" w:rsidRPr="00F64C61">
        <w:t>relating to a project</w:t>
      </w:r>
    </w:p>
    <w:p w:rsidR="00866B48" w:rsidRPr="00F64C61" w:rsidRDefault="001C0D2E" w:rsidP="009773E6">
      <w:pPr>
        <w:pStyle w:val="ListParagraph"/>
        <w:numPr>
          <w:ilvl w:val="0"/>
          <w:numId w:val="22"/>
        </w:numPr>
      </w:pPr>
      <w:r w:rsidRPr="00F64C61">
        <w:t>must indicate an allocation with respect to land, buildings and structures, and either machinery and equipment or linear property, as the case may be,</w:t>
      </w:r>
    </w:p>
    <w:p w:rsidR="009773E6" w:rsidRPr="00F64C61" w:rsidRDefault="009773E6" w:rsidP="009773E6">
      <w:pPr>
        <w:pStyle w:val="ListParagraph"/>
        <w:numPr>
          <w:ilvl w:val="0"/>
          <w:numId w:val="22"/>
        </w:numPr>
      </w:pPr>
      <w:r w:rsidRPr="00F64C61">
        <w:t xml:space="preserve">must be </w:t>
      </w:r>
      <w:r w:rsidR="00992C03" w:rsidRPr="00F64C61">
        <w:t>allocated</w:t>
      </w:r>
      <w:r w:rsidRPr="00F64C61">
        <w:t xml:space="preserve"> on the basis of the proportion of labour, materials</w:t>
      </w:r>
      <w:r w:rsidR="004F3E82" w:rsidRPr="00F64C61">
        <w:t>, transportation</w:t>
      </w:r>
      <w:r w:rsidR="004F3E82" w:rsidRPr="00F64C61">
        <w:rPr>
          <w:i/>
        </w:rPr>
        <w:t>,</w:t>
      </w:r>
      <w:r w:rsidRPr="00F64C61">
        <w:t xml:space="preserve"> </w:t>
      </w:r>
      <w:r w:rsidR="004F3E82" w:rsidRPr="00F64C61">
        <w:t>and</w:t>
      </w:r>
      <w:r w:rsidR="00813C62" w:rsidRPr="00F64C61">
        <w:t xml:space="preserve"> other costs </w:t>
      </w:r>
      <w:r w:rsidR="006E3C5E" w:rsidRPr="00F64C61">
        <w:t xml:space="preserve">incurred by the assessed person and </w:t>
      </w:r>
      <w:r w:rsidR="00813C62" w:rsidRPr="00F64C61">
        <w:t xml:space="preserve">associated with </w:t>
      </w:r>
      <w:r w:rsidRPr="00F64C61">
        <w:t>the project</w:t>
      </w:r>
      <w:r w:rsidR="005967BD" w:rsidRPr="00F64C61">
        <w:t>,</w:t>
      </w:r>
      <w:r w:rsidR="00A67ECE" w:rsidRPr="00F64C61">
        <w:t xml:space="preserve"> and</w:t>
      </w:r>
    </w:p>
    <w:p w:rsidR="001C1BD9" w:rsidRPr="00F64C61" w:rsidRDefault="001C1BD9" w:rsidP="009773E6">
      <w:pPr>
        <w:pStyle w:val="ListParagraph"/>
        <w:numPr>
          <w:ilvl w:val="0"/>
          <w:numId w:val="22"/>
        </w:numPr>
      </w:pPr>
      <w:proofErr w:type="gramStart"/>
      <w:r w:rsidRPr="00F64C61">
        <w:t>must</w:t>
      </w:r>
      <w:proofErr w:type="gramEnd"/>
      <w:r w:rsidRPr="00F64C61">
        <w:t xml:space="preserve"> be </w:t>
      </w:r>
      <w:r w:rsidR="00BC7E5A" w:rsidRPr="00F64C61">
        <w:t>labelled as ‘indirect costs’</w:t>
      </w:r>
      <w:r w:rsidRPr="00F64C61">
        <w:t xml:space="preserve"> on the report. </w:t>
      </w:r>
    </w:p>
    <w:p w:rsidR="00460FA9" w:rsidRPr="00F64C61" w:rsidRDefault="00E864E9" w:rsidP="006123BC">
      <w:pPr>
        <w:spacing w:after="0" w:line="240" w:lineRule="auto"/>
        <w:ind w:left="720" w:firstLine="720"/>
        <w:rPr>
          <w:b/>
          <w:lang w:val="en-US"/>
        </w:rPr>
      </w:pPr>
      <w:r w:rsidRPr="00F64C61">
        <w:rPr>
          <w:b/>
        </w:rPr>
        <w:t>Labour r</w:t>
      </w:r>
      <w:r w:rsidR="00AB44B2" w:rsidRPr="00F64C61">
        <w:rPr>
          <w:b/>
        </w:rPr>
        <w:t>eporting</w:t>
      </w:r>
      <w:r w:rsidR="00AB44B2" w:rsidRPr="00F64C61">
        <w:rPr>
          <w:b/>
          <w:lang w:val="en-US"/>
        </w:rPr>
        <w:t xml:space="preserve"> </w:t>
      </w:r>
    </w:p>
    <w:p w:rsidR="00AB44B2" w:rsidRPr="00F64C61" w:rsidRDefault="00765626" w:rsidP="00AB44B2">
      <w:pPr>
        <w:spacing w:after="100"/>
        <w:ind w:left="1440"/>
      </w:pPr>
      <w:r w:rsidRPr="00F64C61">
        <w:rPr>
          <w:b/>
        </w:rPr>
        <w:t>7</w:t>
      </w:r>
      <w:r w:rsidR="00CB12B4" w:rsidRPr="00F64C61">
        <w:rPr>
          <w:b/>
        </w:rPr>
        <w:t xml:space="preserve"> </w:t>
      </w:r>
      <w:r w:rsidR="00AB44B2" w:rsidRPr="00F64C61">
        <w:t xml:space="preserve">The assessed person’s report must </w:t>
      </w:r>
      <w:r w:rsidR="00082BFB" w:rsidRPr="00F64C61">
        <w:t>include</w:t>
      </w:r>
      <w:r w:rsidR="00E913AA" w:rsidRPr="00F64C61">
        <w:t xml:space="preserve"> the following information</w:t>
      </w:r>
      <w:r w:rsidR="00F2606A" w:rsidRPr="00F64C61">
        <w:t xml:space="preserve"> about labour</w:t>
      </w:r>
    </w:p>
    <w:p w:rsidR="00AB44B2" w:rsidRPr="00F64C61" w:rsidRDefault="00AB44B2" w:rsidP="00087A11">
      <w:pPr>
        <w:pStyle w:val="ListParagraph"/>
        <w:numPr>
          <w:ilvl w:val="0"/>
          <w:numId w:val="37"/>
        </w:numPr>
      </w:pPr>
      <w:r w:rsidRPr="00F64C61">
        <w:t>the total costs of labour performed on the project</w:t>
      </w:r>
      <w:r w:rsidR="00514EE9" w:rsidRPr="00F64C61">
        <w:t>;</w:t>
      </w:r>
    </w:p>
    <w:p w:rsidR="00AB44B2" w:rsidRPr="00F64C61" w:rsidRDefault="00AB44B2" w:rsidP="00087A11">
      <w:pPr>
        <w:pStyle w:val="ListParagraph"/>
        <w:numPr>
          <w:ilvl w:val="0"/>
          <w:numId w:val="37"/>
        </w:numPr>
      </w:pPr>
      <w:r w:rsidRPr="00F64C61">
        <w:t xml:space="preserve">a classification of labour </w:t>
      </w:r>
      <w:r w:rsidR="0086454B" w:rsidRPr="00F64C61">
        <w:t>working on the project</w:t>
      </w:r>
      <w:r w:rsidRPr="00F64C61">
        <w:t>, according to the National Occupation Classification</w:t>
      </w:r>
      <w:r w:rsidR="00514EE9" w:rsidRPr="00F64C61">
        <w:t>;</w:t>
      </w:r>
      <w:r w:rsidRPr="00F64C61">
        <w:t xml:space="preserve"> and</w:t>
      </w:r>
    </w:p>
    <w:p w:rsidR="00DE0A91" w:rsidRPr="00F64C61" w:rsidRDefault="00AB44B2" w:rsidP="00087A11">
      <w:pPr>
        <w:pStyle w:val="ListParagraph"/>
        <w:numPr>
          <w:ilvl w:val="0"/>
          <w:numId w:val="37"/>
        </w:numPr>
      </w:pPr>
      <w:proofErr w:type="gramStart"/>
      <w:r w:rsidRPr="00F64C61">
        <w:t>the</w:t>
      </w:r>
      <w:proofErr w:type="gramEnd"/>
      <w:r w:rsidRPr="00F64C61">
        <w:t xml:space="preserve"> hours worked</w:t>
      </w:r>
      <w:r w:rsidR="0086454B" w:rsidRPr="00F64C61">
        <w:t xml:space="preserve"> on the project</w:t>
      </w:r>
      <w:r w:rsidRPr="00F64C61">
        <w:t>, by labour classification</w:t>
      </w:r>
      <w:r w:rsidR="00B12D48" w:rsidRPr="00F64C61">
        <w:t>.</w:t>
      </w:r>
    </w:p>
    <w:tbl>
      <w:tblPr>
        <w:tblStyle w:val="TableGrid"/>
        <w:tblW w:w="0" w:type="auto"/>
        <w:tblInd w:w="1440" w:type="dxa"/>
        <w:tblLook w:val="04A0" w:firstRow="1" w:lastRow="0" w:firstColumn="1" w:lastColumn="0" w:noHBand="0" w:noVBand="1"/>
      </w:tblPr>
      <w:tblGrid>
        <w:gridCol w:w="8136"/>
      </w:tblGrid>
      <w:tr w:rsidR="00DE0A91" w:rsidRPr="00F64C61" w:rsidTr="00D22F93">
        <w:tc>
          <w:tcPr>
            <w:tcW w:w="8136" w:type="dxa"/>
          </w:tcPr>
          <w:p w:rsidR="00DE0A91" w:rsidRPr="00F64C61" w:rsidRDefault="00DE0A91" w:rsidP="00D22F93">
            <w:pPr>
              <w:spacing w:after="100"/>
              <w:rPr>
                <w:lang w:val="en-US"/>
              </w:rPr>
            </w:pPr>
            <w:r w:rsidRPr="00F64C61">
              <w:rPr>
                <w:lang w:val="en-US"/>
              </w:rPr>
              <w:t xml:space="preserve">Although some labour and transportation costs may be not be used in the calculation of the total project costs, assessed persons are still required to report all actual transportation costs. </w:t>
            </w:r>
          </w:p>
        </w:tc>
      </w:tr>
    </w:tbl>
    <w:p w:rsidR="000C6E4E" w:rsidRPr="00F64C61" w:rsidRDefault="000C6E4E" w:rsidP="003D4E8C">
      <w:pPr>
        <w:spacing w:before="240" w:after="0" w:line="240" w:lineRule="auto"/>
        <w:ind w:left="720" w:firstLine="720"/>
        <w:rPr>
          <w:b/>
          <w:lang w:val="en-US"/>
        </w:rPr>
      </w:pPr>
      <w:r w:rsidRPr="00F64C61">
        <w:rPr>
          <w:b/>
        </w:rPr>
        <w:t>Reporting</w:t>
      </w:r>
      <w:r w:rsidRPr="00F64C61">
        <w:rPr>
          <w:b/>
          <w:lang w:val="en-US"/>
        </w:rPr>
        <w:t xml:space="preserve"> projects under construction</w:t>
      </w:r>
      <w:r w:rsidR="00204030" w:rsidRPr="00F64C61">
        <w:rPr>
          <w:b/>
          <w:lang w:val="en-US"/>
        </w:rPr>
        <w:t xml:space="preserve"> </w:t>
      </w:r>
    </w:p>
    <w:p w:rsidR="000C6E4E" w:rsidRPr="00F64C61" w:rsidRDefault="00765626" w:rsidP="000C6E4E">
      <w:pPr>
        <w:spacing w:after="100"/>
        <w:ind w:left="1440"/>
        <w:rPr>
          <w:lang w:val="en-US"/>
        </w:rPr>
      </w:pPr>
      <w:r w:rsidRPr="00F64C61">
        <w:rPr>
          <w:b/>
          <w:lang w:val="en-US"/>
        </w:rPr>
        <w:t>8</w:t>
      </w:r>
      <w:r w:rsidR="000C6E4E" w:rsidRPr="00F64C61">
        <w:rPr>
          <w:b/>
          <w:lang w:val="en-US"/>
        </w:rPr>
        <w:t xml:space="preserve"> </w:t>
      </w:r>
      <w:r w:rsidR="000C6E4E" w:rsidRPr="00F64C61">
        <w:rPr>
          <w:lang w:val="en-US"/>
        </w:rPr>
        <w:t>Where a</w:t>
      </w:r>
      <w:r w:rsidR="00EC7F5B" w:rsidRPr="00F64C61">
        <w:rPr>
          <w:lang w:val="en-US"/>
        </w:rPr>
        <w:t>n assessed</w:t>
      </w:r>
      <w:r w:rsidR="000C6E4E" w:rsidRPr="00F64C61">
        <w:rPr>
          <w:lang w:val="en-US"/>
        </w:rPr>
        <w:t xml:space="preserve"> property is under construction, whether or not it is operational for the purposes of the Act, the assessed person must provide in a report the total project costs incurred for each year </w:t>
      </w:r>
      <w:r w:rsidR="00EB7E14" w:rsidRPr="00F64C61">
        <w:rPr>
          <w:lang w:val="en-US"/>
        </w:rPr>
        <w:t xml:space="preserve">in which </w:t>
      </w:r>
      <w:r w:rsidR="000C6E4E" w:rsidRPr="00F64C61">
        <w:rPr>
          <w:lang w:val="en-US"/>
        </w:rPr>
        <w:t xml:space="preserve">the project is under </w:t>
      </w:r>
      <w:r w:rsidR="00D50AF9" w:rsidRPr="00F64C61">
        <w:rPr>
          <w:lang w:val="en-US"/>
        </w:rPr>
        <w:t>underway</w:t>
      </w:r>
      <w:r w:rsidR="000C6E4E" w:rsidRPr="00F64C61">
        <w:rPr>
          <w:lang w:val="en-US"/>
        </w:rPr>
        <w:t xml:space="preserve">, in accordance with this </w:t>
      </w:r>
      <w:r w:rsidR="00A56B8F">
        <w:rPr>
          <w:lang w:val="en-US"/>
        </w:rPr>
        <w:t>p</w:t>
      </w:r>
      <w:r w:rsidR="000C6E4E" w:rsidRPr="00F64C61">
        <w:rPr>
          <w:lang w:val="en-US"/>
        </w:rPr>
        <w:t>art.</w:t>
      </w:r>
    </w:p>
    <w:p w:rsidR="00295724" w:rsidRPr="00F64C61" w:rsidRDefault="00A96DB9" w:rsidP="001D2770">
      <w:pPr>
        <w:keepNext/>
        <w:spacing w:after="0" w:line="240" w:lineRule="auto"/>
        <w:ind w:left="720" w:firstLine="720"/>
        <w:rPr>
          <w:b/>
        </w:rPr>
      </w:pPr>
      <w:r w:rsidRPr="00F64C61">
        <w:rPr>
          <w:b/>
        </w:rPr>
        <w:t>Inadequate reporting and e</w:t>
      </w:r>
      <w:r w:rsidR="00295724" w:rsidRPr="00F64C61">
        <w:rPr>
          <w:b/>
        </w:rPr>
        <w:t>stimates</w:t>
      </w:r>
      <w:r w:rsidR="00D5760B" w:rsidRPr="00F64C61">
        <w:rPr>
          <w:b/>
        </w:rPr>
        <w:t xml:space="preserve"> </w:t>
      </w:r>
    </w:p>
    <w:p w:rsidR="00CA66EC" w:rsidRPr="00F64C61" w:rsidRDefault="00C65882" w:rsidP="00295724">
      <w:pPr>
        <w:ind w:left="1440"/>
      </w:pPr>
      <w:r w:rsidRPr="00F64C61">
        <w:rPr>
          <w:b/>
        </w:rPr>
        <w:t>9</w:t>
      </w:r>
      <w:r w:rsidR="00880CA0" w:rsidRPr="00F64C61">
        <w:t>(1</w:t>
      </w:r>
      <w:proofErr w:type="gramStart"/>
      <w:r w:rsidR="00880CA0" w:rsidRPr="00F64C61">
        <w:t>)</w:t>
      </w:r>
      <w:r w:rsidR="00295724" w:rsidRPr="00F64C61">
        <w:t xml:space="preserve">  </w:t>
      </w:r>
      <w:r w:rsidR="0046616C" w:rsidRPr="00F64C61">
        <w:t>Where</w:t>
      </w:r>
      <w:proofErr w:type="gramEnd"/>
      <w:r w:rsidR="0046616C" w:rsidRPr="00F64C61">
        <w:t xml:space="preserve"> </w:t>
      </w:r>
      <w:r w:rsidR="000D19F5" w:rsidRPr="00F64C61">
        <w:t xml:space="preserve">an </w:t>
      </w:r>
      <w:r w:rsidR="00CA66EC" w:rsidRPr="00F64C61">
        <w:t xml:space="preserve">actual </w:t>
      </w:r>
      <w:r w:rsidR="000D19F5" w:rsidRPr="00F64C61">
        <w:t xml:space="preserve">cost </w:t>
      </w:r>
      <w:r w:rsidR="00943970" w:rsidRPr="00F64C61">
        <w:t>of a portion of work, materials, transportation</w:t>
      </w:r>
      <w:r w:rsidR="00A56B8F">
        <w:t>,</w:t>
      </w:r>
      <w:r w:rsidR="00943970" w:rsidRPr="00F64C61">
        <w:t xml:space="preserve"> or other activity performed</w:t>
      </w:r>
      <w:r w:rsidR="00A80B0F" w:rsidRPr="00F64C61">
        <w:t>, supplied or delivered</w:t>
      </w:r>
      <w:r w:rsidR="00D75201" w:rsidRPr="00F64C61">
        <w:t>,</w:t>
      </w:r>
      <w:r w:rsidR="00943970" w:rsidRPr="00F64C61">
        <w:t xml:space="preserve"> in respect of </w:t>
      </w:r>
      <w:r w:rsidR="002B57AC" w:rsidRPr="00F64C61">
        <w:t xml:space="preserve">a </w:t>
      </w:r>
      <w:r w:rsidR="00943970" w:rsidRPr="00F64C61">
        <w:t xml:space="preserve">project </w:t>
      </w:r>
      <w:r w:rsidR="000D19F5" w:rsidRPr="00F64C61">
        <w:t>is</w:t>
      </w:r>
      <w:r w:rsidR="00295724" w:rsidRPr="00F64C61">
        <w:t xml:space="preserve"> not available</w:t>
      </w:r>
      <w:r w:rsidR="000D19F5" w:rsidRPr="00F64C61">
        <w:t>,</w:t>
      </w:r>
      <w:r w:rsidR="00CA66EC" w:rsidRPr="00F64C61">
        <w:t xml:space="preserve"> </w:t>
      </w:r>
      <w:r w:rsidR="005F2AE6" w:rsidRPr="00F64C61">
        <w:t xml:space="preserve">the assessed person may provide </w:t>
      </w:r>
      <w:r w:rsidR="00CA66EC" w:rsidRPr="00F64C61">
        <w:t>a</w:t>
      </w:r>
      <w:r w:rsidR="003A213C" w:rsidRPr="00F64C61">
        <w:t xml:space="preserve"> project specific </w:t>
      </w:r>
      <w:r w:rsidR="00CA66EC" w:rsidRPr="00F64C61">
        <w:t>engineering estimate</w:t>
      </w:r>
      <w:r w:rsidR="00295724" w:rsidRPr="00F64C61">
        <w:t xml:space="preserve"> </w:t>
      </w:r>
      <w:r w:rsidR="00E4055E" w:rsidRPr="00F64C61">
        <w:t xml:space="preserve">of </w:t>
      </w:r>
      <w:r w:rsidR="00EF3A95" w:rsidRPr="00F64C61">
        <w:t>that cost</w:t>
      </w:r>
      <w:r w:rsidR="00E4055E" w:rsidRPr="00F64C61">
        <w:t xml:space="preserve"> </w:t>
      </w:r>
      <w:r w:rsidR="005F2AE6" w:rsidRPr="00F64C61">
        <w:t>to the assessor</w:t>
      </w:r>
      <w:r w:rsidR="00CA66EC" w:rsidRPr="00F64C61">
        <w:t>.</w:t>
      </w:r>
      <w:r w:rsidR="00295724" w:rsidRPr="00F64C61">
        <w:t xml:space="preserve"> </w:t>
      </w:r>
    </w:p>
    <w:p w:rsidR="00880CA0" w:rsidRPr="00F64C61" w:rsidRDefault="001D6F6F" w:rsidP="00880CA0">
      <w:pPr>
        <w:ind w:left="1440"/>
      </w:pPr>
      <w:r w:rsidRPr="00F64C61">
        <w:t>(2)</w:t>
      </w:r>
      <w:r w:rsidRPr="00F64C61">
        <w:rPr>
          <w:b/>
        </w:rPr>
        <w:t xml:space="preserve"> </w:t>
      </w:r>
      <w:r w:rsidR="00880CA0" w:rsidRPr="00F64C61">
        <w:t>Where the assessor disagrees with an estimate provided under subsection (1) or determines that a</w:t>
      </w:r>
      <w:r w:rsidR="00726C43" w:rsidRPr="00F64C61">
        <w:t>n</w:t>
      </w:r>
      <w:r w:rsidR="00880CA0" w:rsidRPr="00F64C61">
        <w:t xml:space="preserve"> RFI response does not meet the requirements of </w:t>
      </w:r>
      <w:r w:rsidR="006F032B" w:rsidRPr="00F64C61">
        <w:t xml:space="preserve">this </w:t>
      </w:r>
      <w:r w:rsidR="00A56B8F">
        <w:t>p</w:t>
      </w:r>
      <w:r w:rsidR="006F032B" w:rsidRPr="00F64C61">
        <w:t>art</w:t>
      </w:r>
      <w:r w:rsidR="00880CA0" w:rsidRPr="00F64C61">
        <w:t xml:space="preserve">, the assessor may </w:t>
      </w:r>
    </w:p>
    <w:p w:rsidR="00880CA0" w:rsidRPr="00F64C61" w:rsidRDefault="00880CA0" w:rsidP="00880CA0">
      <w:pPr>
        <w:pStyle w:val="ListParagraph"/>
        <w:numPr>
          <w:ilvl w:val="0"/>
          <w:numId w:val="38"/>
        </w:numPr>
        <w:ind w:left="2160"/>
      </w:pPr>
      <w:r w:rsidRPr="00F64C61">
        <w:t xml:space="preserve">send a written description of deficiencies to the assessed person, </w:t>
      </w:r>
    </w:p>
    <w:p w:rsidR="00F818C5" w:rsidRPr="00F64C61" w:rsidRDefault="00F818C5" w:rsidP="00880CA0">
      <w:pPr>
        <w:pStyle w:val="ListParagraph"/>
        <w:numPr>
          <w:ilvl w:val="0"/>
          <w:numId w:val="38"/>
        </w:numPr>
        <w:ind w:left="2160"/>
      </w:pPr>
      <w:r w:rsidRPr="00F64C61">
        <w:t xml:space="preserve">use engineering estimates to split costs by the different categories for the purposes of this Guideline, where </w:t>
      </w:r>
      <w:r w:rsidR="0035093F" w:rsidRPr="00F64C61">
        <w:t xml:space="preserve">costs are reported in a </w:t>
      </w:r>
      <w:r w:rsidRPr="00F64C61">
        <w:t xml:space="preserve">consolidated </w:t>
      </w:r>
      <w:r w:rsidR="0035093F" w:rsidRPr="00F64C61">
        <w:t xml:space="preserve">form that does </w:t>
      </w:r>
      <w:r w:rsidRPr="00F64C61">
        <w:t xml:space="preserve">not segregate </w:t>
      </w:r>
      <w:r w:rsidR="00A56B8F">
        <w:t>t</w:t>
      </w:r>
      <w:r w:rsidRPr="00F64C61">
        <w:t>he different types of costs referred to in this Guideline,</w:t>
      </w:r>
      <w:r w:rsidR="002F0C89" w:rsidRPr="00F64C61">
        <w:t xml:space="preserve"> and</w:t>
      </w:r>
      <w:r w:rsidRPr="00F64C61">
        <w:t xml:space="preserve"> </w:t>
      </w:r>
    </w:p>
    <w:p w:rsidR="00880CA0" w:rsidRPr="00F64C61" w:rsidRDefault="00880CA0" w:rsidP="00880CA0">
      <w:pPr>
        <w:pStyle w:val="ListParagraph"/>
        <w:numPr>
          <w:ilvl w:val="0"/>
          <w:numId w:val="38"/>
        </w:numPr>
        <w:ind w:left="2160"/>
      </w:pPr>
      <w:proofErr w:type="gramStart"/>
      <w:r w:rsidRPr="00F64C61">
        <w:t>impute</w:t>
      </w:r>
      <w:proofErr w:type="gramEnd"/>
      <w:r w:rsidRPr="00F64C61">
        <w:t xml:space="preserve"> total project costs on the basis of the best information available to the assessor, including estimates for the construction of the project either with the agreement of the assessed person or without. </w:t>
      </w:r>
    </w:p>
    <w:tbl>
      <w:tblPr>
        <w:tblStyle w:val="TableGrid"/>
        <w:tblW w:w="0" w:type="auto"/>
        <w:tblInd w:w="1458" w:type="dxa"/>
        <w:tblLook w:val="04A0" w:firstRow="1" w:lastRow="0" w:firstColumn="1" w:lastColumn="0" w:noHBand="0" w:noVBand="1"/>
      </w:tblPr>
      <w:tblGrid>
        <w:gridCol w:w="8118"/>
      </w:tblGrid>
      <w:tr w:rsidR="009535E3" w:rsidRPr="00F64C61" w:rsidTr="00E67AA6">
        <w:tc>
          <w:tcPr>
            <w:tcW w:w="8118" w:type="dxa"/>
          </w:tcPr>
          <w:p w:rsidR="009535E3" w:rsidRPr="00F64C61" w:rsidRDefault="009535E3" w:rsidP="00266F2E">
            <w:pPr>
              <w:spacing w:before="120" w:after="120"/>
            </w:pPr>
            <w:r w:rsidRPr="00F64C61">
              <w:t>Industry</w:t>
            </w:r>
            <w:r w:rsidRPr="00F64C61">
              <w:rPr>
                <w:spacing w:val="-1"/>
              </w:rPr>
              <w:t xml:space="preserve"> cost reporting averages or standards are not acceptable substitutes for project specific engineering estimates</w:t>
            </w:r>
            <w:r w:rsidR="00F1586E" w:rsidRPr="00F64C61">
              <w:rPr>
                <w:spacing w:val="-1"/>
              </w:rPr>
              <w:t xml:space="preserve">, and </w:t>
            </w:r>
            <w:r w:rsidR="00266F2E" w:rsidRPr="00F64C61">
              <w:rPr>
                <w:spacing w:val="-1"/>
              </w:rPr>
              <w:t>must</w:t>
            </w:r>
            <w:r w:rsidR="00F1586E" w:rsidRPr="00F64C61">
              <w:rPr>
                <w:spacing w:val="-1"/>
              </w:rPr>
              <w:t xml:space="preserve"> not be used for the purposes of preparing </w:t>
            </w:r>
            <w:r w:rsidR="00F44166">
              <w:rPr>
                <w:spacing w:val="-1"/>
              </w:rPr>
              <w:t>included cost</w:t>
            </w:r>
            <w:r w:rsidR="00F1586E" w:rsidRPr="00F64C61">
              <w:rPr>
                <w:spacing w:val="-1"/>
              </w:rPr>
              <w:t xml:space="preserve"> under this Guideline</w:t>
            </w:r>
            <w:r w:rsidRPr="00F64C61">
              <w:rPr>
                <w:spacing w:val="-1"/>
              </w:rPr>
              <w:t>.</w:t>
            </w:r>
          </w:p>
        </w:tc>
      </w:tr>
    </w:tbl>
    <w:p w:rsidR="00906BC8" w:rsidRPr="00F64C61" w:rsidRDefault="00906BC8" w:rsidP="003D4E8C">
      <w:pPr>
        <w:spacing w:before="120" w:after="100"/>
        <w:ind w:left="720"/>
        <w:jc w:val="center"/>
        <w:rPr>
          <w:b/>
        </w:rPr>
      </w:pPr>
      <w:r w:rsidRPr="00F64C61">
        <w:rPr>
          <w:b/>
        </w:rPr>
        <w:t xml:space="preserve">Part </w:t>
      </w:r>
      <w:r w:rsidR="00EB34D1" w:rsidRPr="00F64C61">
        <w:rPr>
          <w:b/>
        </w:rPr>
        <w:t>2</w:t>
      </w:r>
    </w:p>
    <w:p w:rsidR="00906BC8" w:rsidRPr="00F64C61" w:rsidRDefault="00EB3A59" w:rsidP="00D073E0">
      <w:pPr>
        <w:pStyle w:val="NoSpacing"/>
        <w:jc w:val="center"/>
        <w:rPr>
          <w:b/>
        </w:rPr>
      </w:pPr>
      <w:r w:rsidRPr="00F64C61">
        <w:rPr>
          <w:b/>
        </w:rPr>
        <w:t xml:space="preserve">Determination of </w:t>
      </w:r>
      <w:r w:rsidR="00F44166">
        <w:rPr>
          <w:b/>
        </w:rPr>
        <w:t>Included cost</w:t>
      </w:r>
      <w:r w:rsidR="00906BC8" w:rsidRPr="00F64C61">
        <w:rPr>
          <w:b/>
        </w:rPr>
        <w:t xml:space="preserve"> </w:t>
      </w:r>
    </w:p>
    <w:p w:rsidR="00906BC8" w:rsidRPr="00F64C61" w:rsidRDefault="00906BC8" w:rsidP="00906BC8">
      <w:pPr>
        <w:pStyle w:val="NoSpacing"/>
        <w:jc w:val="center"/>
        <w:rPr>
          <w:b/>
        </w:rPr>
      </w:pPr>
    </w:p>
    <w:p w:rsidR="00867912" w:rsidRPr="00F64C61" w:rsidRDefault="00867912" w:rsidP="00867912">
      <w:pPr>
        <w:spacing w:after="0" w:line="240" w:lineRule="auto"/>
        <w:ind w:left="720" w:firstLine="720"/>
        <w:rPr>
          <w:b/>
        </w:rPr>
      </w:pPr>
      <w:r w:rsidRPr="00F64C61">
        <w:rPr>
          <w:b/>
        </w:rPr>
        <w:t>Estimates</w:t>
      </w:r>
    </w:p>
    <w:p w:rsidR="00867912" w:rsidRPr="00F64C61" w:rsidRDefault="001916FF" w:rsidP="00867912">
      <w:pPr>
        <w:spacing w:after="0" w:line="240" w:lineRule="auto"/>
        <w:ind w:left="1440"/>
      </w:pPr>
      <w:r w:rsidRPr="00F64C61">
        <w:rPr>
          <w:b/>
        </w:rPr>
        <w:t>10</w:t>
      </w:r>
      <w:r w:rsidR="00867912" w:rsidRPr="00F64C61">
        <w:t xml:space="preserve">(1) </w:t>
      </w:r>
      <w:proofErr w:type="gramStart"/>
      <w:r w:rsidR="00867912" w:rsidRPr="00F64C61">
        <w:t>Where</w:t>
      </w:r>
      <w:proofErr w:type="gramEnd"/>
      <w:r w:rsidR="00867912" w:rsidRPr="00F64C61">
        <w:t xml:space="preserve"> </w:t>
      </w:r>
      <w:r w:rsidR="00F61CB1" w:rsidRPr="00F64C61">
        <w:t xml:space="preserve">actual </w:t>
      </w:r>
      <w:r w:rsidR="00867912" w:rsidRPr="00F64C61">
        <w:t>costs are not available for a project activity, estimates provided or made under se</w:t>
      </w:r>
      <w:r w:rsidR="00867912" w:rsidRPr="00CE13A5">
        <w:t>ction 9 ar</w:t>
      </w:r>
      <w:r w:rsidR="00867912" w:rsidRPr="00F64C61">
        <w:t xml:space="preserve">e deemed to be costs for the purposes of determining total project costs,  </w:t>
      </w:r>
    </w:p>
    <w:p w:rsidR="00867912" w:rsidRPr="00F64C61" w:rsidRDefault="00867912" w:rsidP="00867912">
      <w:pPr>
        <w:spacing w:after="0" w:line="240" w:lineRule="auto"/>
        <w:ind w:left="1440"/>
      </w:pPr>
    </w:p>
    <w:p w:rsidR="00867912" w:rsidRPr="00F64C61" w:rsidRDefault="00867912" w:rsidP="00867912">
      <w:pPr>
        <w:spacing w:after="0" w:line="240" w:lineRule="auto"/>
        <w:ind w:left="1440"/>
      </w:pPr>
      <w:r w:rsidRPr="00F64C61">
        <w:t>(2) Where the actual costs for a project activity become available, after an estimate was deemed to be a cost under subsection (1), the total project costs must be amended to reflect the costs incurred.</w:t>
      </w:r>
    </w:p>
    <w:p w:rsidR="00867912" w:rsidRPr="00F64C61" w:rsidRDefault="00867912" w:rsidP="00DC0B2D">
      <w:pPr>
        <w:spacing w:after="0" w:line="240" w:lineRule="auto"/>
        <w:ind w:left="720" w:firstLine="720"/>
        <w:rPr>
          <w:b/>
        </w:rPr>
      </w:pPr>
    </w:p>
    <w:p w:rsidR="00BD0F9A" w:rsidRPr="00F64C61" w:rsidRDefault="009B4855" w:rsidP="00DC0B2D">
      <w:pPr>
        <w:spacing w:after="0" w:line="240" w:lineRule="auto"/>
        <w:ind w:left="720" w:firstLine="720"/>
        <w:rPr>
          <w:b/>
        </w:rPr>
      </w:pPr>
      <w:r w:rsidRPr="00F64C61">
        <w:rPr>
          <w:b/>
        </w:rPr>
        <w:t xml:space="preserve">Annually </w:t>
      </w:r>
      <w:r w:rsidR="00F44166">
        <w:rPr>
          <w:b/>
        </w:rPr>
        <w:t>included cost</w:t>
      </w:r>
      <w:r w:rsidR="00F818F3" w:rsidRPr="00F64C61">
        <w:rPr>
          <w:b/>
        </w:rPr>
        <w:t xml:space="preserve"> </w:t>
      </w:r>
    </w:p>
    <w:p w:rsidR="008A2E2A" w:rsidRPr="00F64C61" w:rsidRDefault="00906BC8" w:rsidP="008A2E2A">
      <w:pPr>
        <w:ind w:left="1440"/>
        <w:rPr>
          <w:b/>
        </w:rPr>
      </w:pPr>
      <w:r w:rsidRPr="00F64C61">
        <w:rPr>
          <w:b/>
        </w:rPr>
        <w:t>1</w:t>
      </w:r>
      <w:r w:rsidR="00CD1E8B" w:rsidRPr="00F64C61">
        <w:rPr>
          <w:b/>
        </w:rPr>
        <w:t>1</w:t>
      </w:r>
      <w:r w:rsidR="00055BDE" w:rsidRPr="00F64C61">
        <w:t>(1)</w:t>
      </w:r>
      <w:r w:rsidR="00F23C36" w:rsidRPr="00F64C61">
        <w:t xml:space="preserve"> </w:t>
      </w:r>
      <w:r w:rsidR="008A2E2A" w:rsidRPr="00F64C61">
        <w:t xml:space="preserve">in this section, </w:t>
      </w:r>
    </w:p>
    <w:p w:rsidR="008A2E2A" w:rsidRPr="00F64C61" w:rsidRDefault="008A2E2A" w:rsidP="008A2E2A">
      <w:pPr>
        <w:pStyle w:val="ListParagraph"/>
        <w:numPr>
          <w:ilvl w:val="0"/>
          <w:numId w:val="30"/>
        </w:numPr>
      </w:pPr>
      <w:r w:rsidRPr="00F64C61">
        <w:t>“excluded costs” are determined in accordance with Part 4;</w:t>
      </w:r>
    </w:p>
    <w:p w:rsidR="008A2E2A" w:rsidRPr="00F64C61" w:rsidRDefault="008A2E2A" w:rsidP="008A2E2A">
      <w:pPr>
        <w:pStyle w:val="ListParagraph"/>
        <w:numPr>
          <w:ilvl w:val="0"/>
          <w:numId w:val="30"/>
        </w:numPr>
      </w:pPr>
      <w:r w:rsidRPr="00F64C61">
        <w:t>“</w:t>
      </w:r>
      <w:r w:rsidR="00F315DA" w:rsidRPr="00F64C61">
        <w:t xml:space="preserve">total </w:t>
      </w:r>
      <w:r w:rsidRPr="00F64C61">
        <w:t xml:space="preserve">labour costs” are determined in accordance with </w:t>
      </w:r>
      <w:r w:rsidR="00F315DA" w:rsidRPr="00F64C61">
        <w:t xml:space="preserve">section </w:t>
      </w:r>
      <w:r w:rsidR="00F315DA" w:rsidRPr="00CE13A5">
        <w:t>14</w:t>
      </w:r>
    </w:p>
    <w:p w:rsidR="008A2E2A" w:rsidRPr="00F64C61" w:rsidRDefault="008A2E2A" w:rsidP="008A2E2A">
      <w:pPr>
        <w:pStyle w:val="ListParagraph"/>
        <w:numPr>
          <w:ilvl w:val="0"/>
          <w:numId w:val="30"/>
        </w:numPr>
      </w:pPr>
      <w:r w:rsidRPr="00F64C61">
        <w:t>“other costs” are equal to total project costs minus excluded costs;</w:t>
      </w:r>
    </w:p>
    <w:p w:rsidR="008A2E2A" w:rsidRPr="00F64C61" w:rsidRDefault="008A2E2A" w:rsidP="008A2E2A">
      <w:pPr>
        <w:pStyle w:val="ListParagraph"/>
        <w:numPr>
          <w:ilvl w:val="0"/>
          <w:numId w:val="30"/>
        </w:numPr>
      </w:pPr>
      <w:r w:rsidRPr="00F64C61">
        <w:t>“transportation costs” are determined in accordance with Part 3</w:t>
      </w:r>
      <w:r w:rsidR="008A5703" w:rsidRPr="00F64C61">
        <w:t>, division 2</w:t>
      </w:r>
      <w:r w:rsidRPr="00F64C61">
        <w:t>;</w:t>
      </w:r>
    </w:p>
    <w:p w:rsidR="008A2E2A" w:rsidRPr="00F64C61" w:rsidRDefault="008A2E2A" w:rsidP="008A2E2A">
      <w:pPr>
        <w:pStyle w:val="ListParagraph"/>
        <w:numPr>
          <w:ilvl w:val="0"/>
          <w:numId w:val="30"/>
        </w:numPr>
      </w:pPr>
      <w:r w:rsidRPr="00F64C61">
        <w:t>“</w:t>
      </w:r>
      <w:proofErr w:type="gramStart"/>
      <w:r w:rsidRPr="00F64C61">
        <w:t>removal</w:t>
      </w:r>
      <w:proofErr w:type="gramEnd"/>
      <w:r w:rsidRPr="00F64C61">
        <w:t xml:space="preserve"> costs” are determined in accordance with Part 5.</w:t>
      </w:r>
    </w:p>
    <w:p w:rsidR="00991BB3" w:rsidRPr="00F64C61" w:rsidRDefault="005D66C9" w:rsidP="00402B61">
      <w:pPr>
        <w:ind w:left="1440"/>
      </w:pPr>
      <w:r w:rsidRPr="00F64C61">
        <w:t xml:space="preserve">(2) </w:t>
      </w:r>
      <w:r w:rsidR="00F44166">
        <w:t>Included cost</w:t>
      </w:r>
      <w:r w:rsidR="00991BB3" w:rsidRPr="00F64C61">
        <w:t xml:space="preserve"> for a</w:t>
      </w:r>
      <w:r w:rsidR="009243F9" w:rsidRPr="00F64C61">
        <w:t>n assessed</w:t>
      </w:r>
      <w:r w:rsidR="00105B37" w:rsidRPr="00F64C61">
        <w:t xml:space="preserve"> </w:t>
      </w:r>
      <w:r w:rsidR="000D6D3A" w:rsidRPr="00F64C61">
        <w:t>property</w:t>
      </w:r>
      <w:r w:rsidR="00991BB3" w:rsidRPr="00F64C61">
        <w:t xml:space="preserve"> </w:t>
      </w:r>
      <w:proofErr w:type="gramStart"/>
      <w:r w:rsidR="00991BB3" w:rsidRPr="00F64C61">
        <w:t>are</w:t>
      </w:r>
      <w:proofErr w:type="gramEnd"/>
      <w:r w:rsidR="00991BB3" w:rsidRPr="00F64C61">
        <w:t xml:space="preserve"> to be </w:t>
      </w:r>
      <w:r w:rsidR="007A19EF" w:rsidRPr="00F64C61">
        <w:t xml:space="preserve">determined </w:t>
      </w:r>
      <w:r w:rsidR="006623AB" w:rsidRPr="00F64C61">
        <w:t>for</w:t>
      </w:r>
      <w:r w:rsidR="005E3D8F" w:rsidRPr="00F64C61">
        <w:t xml:space="preserve"> </w:t>
      </w:r>
      <w:r w:rsidR="007A19EF" w:rsidRPr="00F64C61">
        <w:t>each year</w:t>
      </w:r>
      <w:r w:rsidR="00402B61" w:rsidRPr="00F64C61">
        <w:t xml:space="preserve"> in which</w:t>
      </w:r>
      <w:r w:rsidR="0046616C" w:rsidRPr="00F64C61">
        <w:t xml:space="preserve"> </w:t>
      </w:r>
      <w:r w:rsidR="00EA4272" w:rsidRPr="00F64C61">
        <w:t>a project-related activity occurs</w:t>
      </w:r>
      <w:r w:rsidR="00402B61" w:rsidRPr="00F64C61">
        <w:t xml:space="preserve">. </w:t>
      </w:r>
    </w:p>
    <w:tbl>
      <w:tblPr>
        <w:tblStyle w:val="TableGrid"/>
        <w:tblW w:w="0" w:type="auto"/>
        <w:tblInd w:w="1440" w:type="dxa"/>
        <w:tblLook w:val="04A0" w:firstRow="1" w:lastRow="0" w:firstColumn="1" w:lastColumn="0" w:noHBand="0" w:noVBand="1"/>
      </w:tblPr>
      <w:tblGrid>
        <w:gridCol w:w="8136"/>
      </w:tblGrid>
      <w:tr w:rsidR="00ED2672" w:rsidRPr="00F64C61" w:rsidTr="00ED2672">
        <w:tc>
          <w:tcPr>
            <w:tcW w:w="9576" w:type="dxa"/>
          </w:tcPr>
          <w:p w:rsidR="00E076C8" w:rsidRPr="00F64C61" w:rsidRDefault="00ED2672" w:rsidP="003D4E8C">
            <w:pPr>
              <w:spacing w:before="120" w:after="120"/>
            </w:pPr>
            <w:r w:rsidRPr="00F64C61">
              <w:t xml:space="preserve">Where an assessed property has </w:t>
            </w:r>
            <w:r w:rsidR="00F44166">
              <w:t>included cost</w:t>
            </w:r>
            <w:r w:rsidRPr="00F64C61">
              <w:t xml:space="preserve"> </w:t>
            </w:r>
            <w:r w:rsidR="00CC2803" w:rsidRPr="00F64C61">
              <w:t>for</w:t>
            </w:r>
            <w:r w:rsidRPr="00F64C61">
              <w:t xml:space="preserve"> multiple years, each year’s included cost should be </w:t>
            </w:r>
            <w:r w:rsidR="002769BE" w:rsidRPr="00F64C61">
              <w:t>multiplied</w:t>
            </w:r>
            <w:r w:rsidRPr="00F64C61">
              <w:t xml:space="preserve"> by the appropriate cost factor in Schedule A</w:t>
            </w:r>
            <w:r w:rsidR="00CD2473" w:rsidRPr="00F64C61">
              <w:t xml:space="preserve">. The sum of all </w:t>
            </w:r>
            <w:r w:rsidR="00F44166">
              <w:t>included cost</w:t>
            </w:r>
            <w:r w:rsidR="00CD2473" w:rsidRPr="00F64C61">
              <w:t xml:space="preserve"> x cost factors should be used as the Schedule </w:t>
            </w:r>
            <w:proofErr w:type="gramStart"/>
            <w:r w:rsidR="00CD2473" w:rsidRPr="00F64C61">
              <w:t>A</w:t>
            </w:r>
            <w:proofErr w:type="gramEnd"/>
            <w:r w:rsidR="00CD2473" w:rsidRPr="00F64C61">
              <w:t xml:space="preserve"> amount. </w:t>
            </w:r>
          </w:p>
        </w:tc>
      </w:tr>
    </w:tbl>
    <w:p w:rsidR="008A2E2A" w:rsidRPr="00F64C61" w:rsidRDefault="008A2E2A" w:rsidP="008A2E2A">
      <w:pPr>
        <w:ind w:left="1440"/>
      </w:pPr>
      <w:r w:rsidRPr="00F64C61">
        <w:t>(</w:t>
      </w:r>
      <w:r w:rsidR="00287824" w:rsidRPr="00F64C61">
        <w:t>3</w:t>
      </w:r>
      <w:r w:rsidRPr="00F64C61">
        <w:t xml:space="preserve">)  The included cost for </w:t>
      </w:r>
      <w:r w:rsidR="000528DF" w:rsidRPr="00F64C61">
        <w:t xml:space="preserve">2018 and any subsequent year </w:t>
      </w:r>
      <w:r w:rsidRPr="00F64C61">
        <w:t>is to be calculated in accordance with the following formula:</w:t>
      </w:r>
    </w:p>
    <w:p w:rsidR="008A2E2A" w:rsidRPr="00F64C61" w:rsidRDefault="008A2E2A" w:rsidP="008A2E2A">
      <w:pPr>
        <w:ind w:left="1440"/>
        <w:jc w:val="center"/>
      </w:pPr>
      <w:r w:rsidRPr="00F64C61">
        <w:t xml:space="preserve">Included cost = </w:t>
      </w:r>
      <w:r w:rsidR="00F315DA" w:rsidRPr="00F64C61">
        <w:t xml:space="preserve">total </w:t>
      </w:r>
      <w:r w:rsidRPr="00F64C61">
        <w:t>labour costs + transportation costs + other costs – removal costs</w:t>
      </w:r>
    </w:p>
    <w:tbl>
      <w:tblPr>
        <w:tblStyle w:val="TableGrid"/>
        <w:tblW w:w="0" w:type="auto"/>
        <w:tblInd w:w="1440" w:type="dxa"/>
        <w:tblLook w:val="04A0" w:firstRow="1" w:lastRow="0" w:firstColumn="1" w:lastColumn="0" w:noHBand="0" w:noVBand="1"/>
      </w:tblPr>
      <w:tblGrid>
        <w:gridCol w:w="8136"/>
      </w:tblGrid>
      <w:tr w:rsidR="008A2E2A" w:rsidRPr="00F64C61" w:rsidTr="007127B3">
        <w:tc>
          <w:tcPr>
            <w:tcW w:w="8136" w:type="dxa"/>
          </w:tcPr>
          <w:p w:rsidR="008A2E2A" w:rsidRPr="00F64C61" w:rsidRDefault="008A2E2A" w:rsidP="007127B3">
            <w:r w:rsidRPr="00F64C61">
              <w:t>The included cost calculation has four main factors: labour costs, transportation costs, other costs</w:t>
            </w:r>
            <w:r w:rsidR="00A56B8F">
              <w:t>,</w:t>
            </w:r>
            <w:r w:rsidRPr="00F64C61">
              <w:t xml:space="preserve"> and removal costs. </w:t>
            </w:r>
          </w:p>
          <w:p w:rsidR="008A2E2A" w:rsidRPr="00F64C61" w:rsidRDefault="008A2E2A" w:rsidP="007127B3"/>
          <w:p w:rsidR="008A2E2A" w:rsidRPr="00F64C61" w:rsidRDefault="008A2E2A" w:rsidP="007127B3">
            <w:r w:rsidRPr="00F64C61">
              <w:t xml:space="preserve">Labour and transportation costs are subject to special calculation rules under Part 4. </w:t>
            </w:r>
          </w:p>
          <w:p w:rsidR="008A2E2A" w:rsidRPr="00F64C61" w:rsidRDefault="008A2E2A" w:rsidP="007127B3"/>
          <w:p w:rsidR="008A2E2A" w:rsidRPr="00F64C61" w:rsidRDefault="008A2E2A" w:rsidP="007127B3">
            <w:r w:rsidRPr="00F64C61">
              <w:t xml:space="preserve">Other costs is a residual category for other project activities that consists of total costs minus excluded costs (which also subtracts labour and transportation costs), determined under Part 3. </w:t>
            </w:r>
          </w:p>
          <w:p w:rsidR="008A2E2A" w:rsidRPr="00F64C61" w:rsidRDefault="008A2E2A" w:rsidP="007127B3"/>
          <w:p w:rsidR="008A2E2A" w:rsidRPr="00F64C61" w:rsidRDefault="008A2E2A" w:rsidP="00F61CB1">
            <w:r w:rsidRPr="00F64C61">
              <w:t>Removal costs, determined under Part 5, are</w:t>
            </w:r>
            <w:r w:rsidR="00F61CB1" w:rsidRPr="00F64C61">
              <w:t xml:space="preserve"> usually</w:t>
            </w:r>
            <w:r w:rsidRPr="00F64C61">
              <w:t xml:space="preserve"> incurred long after original construction, and apply to parts of assessed property that removed, including by alteration. </w:t>
            </w:r>
          </w:p>
        </w:tc>
      </w:tr>
    </w:tbl>
    <w:p w:rsidR="000F0048" w:rsidRPr="00F64C61" w:rsidRDefault="000F0048" w:rsidP="003D4E8C">
      <w:pPr>
        <w:spacing w:before="120"/>
        <w:ind w:left="1440"/>
        <w:rPr>
          <w:i/>
        </w:rPr>
      </w:pPr>
      <w:r w:rsidRPr="00F64C61">
        <w:t xml:space="preserve">(4) </w:t>
      </w:r>
      <w:r w:rsidR="00CF3B0D" w:rsidRPr="00F64C61">
        <w:t>Subject to subsection (5), t</w:t>
      </w:r>
      <w:r w:rsidRPr="00F64C61">
        <w:t xml:space="preserve">he included cost for 2017 and any </w:t>
      </w:r>
      <w:r w:rsidR="00F3360F" w:rsidRPr="00F64C61">
        <w:t>prior</w:t>
      </w:r>
      <w:r w:rsidRPr="00F64C61">
        <w:t xml:space="preserve"> year is to be determined in accordance with the </w:t>
      </w:r>
      <w:r w:rsidRPr="00F64C61">
        <w:rPr>
          <w:i/>
        </w:rPr>
        <w:t>2005</w:t>
      </w:r>
      <w:r w:rsidRPr="00F64C61">
        <w:t xml:space="preserve"> </w:t>
      </w:r>
      <w:r w:rsidRPr="00F64C61">
        <w:rPr>
          <w:i/>
        </w:rPr>
        <w:t>Construction Cost Reporting Guide.</w:t>
      </w:r>
    </w:p>
    <w:p w:rsidR="00C50150" w:rsidRPr="00F64C61" w:rsidRDefault="00C50150" w:rsidP="00C50150">
      <w:pPr>
        <w:ind w:left="1440"/>
      </w:pPr>
      <w:r w:rsidRPr="00F64C61">
        <w:t>(</w:t>
      </w:r>
      <w:r w:rsidR="00A24E63" w:rsidRPr="00F64C61">
        <w:t>5</w:t>
      </w:r>
      <w:r w:rsidRPr="00F64C61">
        <w:t xml:space="preserve">) Where an assessed property becomes operational in 2018 or a subsequent year, </w:t>
      </w:r>
      <w:r w:rsidR="00F44166">
        <w:t>included cost</w:t>
      </w:r>
      <w:r w:rsidRPr="00F64C61">
        <w:t xml:space="preserve"> for years prior to the year in which the assessed property became operational </w:t>
      </w:r>
      <w:proofErr w:type="gramStart"/>
      <w:r w:rsidRPr="00F64C61">
        <w:t>are</w:t>
      </w:r>
      <w:proofErr w:type="gramEnd"/>
      <w:r w:rsidRPr="00F64C61">
        <w:t xml:space="preserve"> to be calculated in accordance with </w:t>
      </w:r>
      <w:r w:rsidR="00BA6F9F" w:rsidRPr="00F64C61">
        <w:t>the formula in subsection (3)</w:t>
      </w:r>
      <w:r w:rsidRPr="00F64C61">
        <w:t>.</w:t>
      </w:r>
    </w:p>
    <w:p w:rsidR="00123467" w:rsidRPr="00F64C61" w:rsidRDefault="00853E5F" w:rsidP="00123467">
      <w:pPr>
        <w:spacing w:after="0" w:line="240" w:lineRule="auto"/>
        <w:ind w:left="720" w:firstLine="720"/>
        <w:rPr>
          <w:b/>
        </w:rPr>
      </w:pPr>
      <w:r w:rsidRPr="00F64C61">
        <w:rPr>
          <w:b/>
        </w:rPr>
        <w:t>Carry forward</w:t>
      </w:r>
      <w:r w:rsidR="00123467" w:rsidRPr="00F64C61">
        <w:rPr>
          <w:b/>
        </w:rPr>
        <w:t xml:space="preserve"> rule</w:t>
      </w:r>
    </w:p>
    <w:p w:rsidR="00343675" w:rsidRPr="00F64C61" w:rsidRDefault="00123467" w:rsidP="00055BDE">
      <w:pPr>
        <w:ind w:left="1440"/>
      </w:pPr>
      <w:r w:rsidRPr="00F64C61">
        <w:rPr>
          <w:b/>
        </w:rPr>
        <w:t>12</w:t>
      </w:r>
      <w:r w:rsidR="00055BDE" w:rsidRPr="00F64C61">
        <w:t xml:space="preserve"> </w:t>
      </w:r>
      <w:r w:rsidRPr="00F64C61">
        <w:t xml:space="preserve">Despite section </w:t>
      </w:r>
      <w:r w:rsidRPr="00CE13A5">
        <w:t>11(3-5)</w:t>
      </w:r>
      <w:r w:rsidR="00AB7D6A" w:rsidRPr="00CE13A5">
        <w:t>, the</w:t>
      </w:r>
      <w:r w:rsidR="00AB7D6A" w:rsidRPr="00F64C61">
        <w:t xml:space="preserve"> </w:t>
      </w:r>
      <w:r w:rsidR="00F44166">
        <w:t>included cost</w:t>
      </w:r>
      <w:r w:rsidR="002D2022" w:rsidRPr="00F64C61">
        <w:t>,</w:t>
      </w:r>
      <w:r w:rsidR="00343675" w:rsidRPr="00F64C61">
        <w:t xml:space="preserve"> determined</w:t>
      </w:r>
      <w:r w:rsidR="002D2022" w:rsidRPr="00F64C61">
        <w:t xml:space="preserve"> in the process of preparing the prior year’s assessment,</w:t>
      </w:r>
      <w:r w:rsidR="00343675" w:rsidRPr="00F64C61">
        <w:t xml:space="preserve"> for </w:t>
      </w:r>
      <w:r w:rsidR="00166FBC" w:rsidRPr="00F64C61">
        <w:t xml:space="preserve">each year </w:t>
      </w:r>
      <w:r w:rsidR="00343675" w:rsidRPr="00F64C61">
        <w:t xml:space="preserve">prior to the year </w:t>
      </w:r>
      <w:r w:rsidR="007A2B6B" w:rsidRPr="00F64C61">
        <w:t>for</w:t>
      </w:r>
      <w:r w:rsidR="00343675" w:rsidRPr="00F64C61">
        <w:t xml:space="preserve"> which the assessment is prepared must be used without modification, except if</w:t>
      </w:r>
      <w:r w:rsidR="008B6C01" w:rsidRPr="00F64C61">
        <w:t xml:space="preserve"> any of the following apply</w:t>
      </w:r>
    </w:p>
    <w:p w:rsidR="0086445F" w:rsidRPr="00F64C61" w:rsidRDefault="00665F1B" w:rsidP="0086445F">
      <w:pPr>
        <w:pStyle w:val="ListParagraph"/>
        <w:numPr>
          <w:ilvl w:val="0"/>
          <w:numId w:val="39"/>
        </w:numPr>
        <w:ind w:left="2160"/>
      </w:pPr>
      <w:r w:rsidRPr="00F64C61">
        <w:t xml:space="preserve">an </w:t>
      </w:r>
      <w:r w:rsidR="00343675" w:rsidRPr="00F64C61">
        <w:t>included cost</w:t>
      </w:r>
      <w:r w:rsidRPr="00F64C61">
        <w:t xml:space="preserve"> was</w:t>
      </w:r>
      <w:r w:rsidR="00343675" w:rsidRPr="00F64C61">
        <w:t xml:space="preserve"> based on an estimate </w:t>
      </w:r>
      <w:r w:rsidR="00963346" w:rsidRPr="00F64C61">
        <w:t xml:space="preserve">made </w:t>
      </w:r>
      <w:r w:rsidR="00343675" w:rsidRPr="00F64C61">
        <w:t>under section 9</w:t>
      </w:r>
      <w:r w:rsidR="00916E63" w:rsidRPr="00F64C61">
        <w:t xml:space="preserve">, </w:t>
      </w:r>
      <w:r w:rsidR="00343675" w:rsidRPr="00F64C61">
        <w:t xml:space="preserve">and actual </w:t>
      </w:r>
      <w:r w:rsidR="00DA2217" w:rsidRPr="00F64C61">
        <w:t xml:space="preserve">project costs which were the subject of an estimate become available, </w:t>
      </w:r>
      <w:r w:rsidR="00806B9C" w:rsidRPr="00F64C61">
        <w:t>the</w:t>
      </w:r>
      <w:r w:rsidR="00DA2217" w:rsidRPr="00F64C61">
        <w:t xml:space="preserve"> assessment must reflect th</w:t>
      </w:r>
      <w:r w:rsidR="002702BA" w:rsidRPr="00F64C61">
        <w:t>ose</w:t>
      </w:r>
      <w:r w:rsidR="00DA2217" w:rsidRPr="00F64C61">
        <w:t xml:space="preserve"> actual project costs</w:t>
      </w:r>
      <w:r w:rsidR="00716CBF" w:rsidRPr="00F64C61">
        <w:t xml:space="preserve"> in accordance with section 10(2)</w:t>
      </w:r>
      <w:r w:rsidR="00F7214A" w:rsidRPr="00F64C61">
        <w:t>,</w:t>
      </w:r>
      <w:r w:rsidR="00DA2217" w:rsidRPr="00F64C61">
        <w:t xml:space="preserve">  </w:t>
      </w:r>
    </w:p>
    <w:p w:rsidR="00343675" w:rsidRPr="00F64C61" w:rsidRDefault="00343675" w:rsidP="0086445F">
      <w:pPr>
        <w:pStyle w:val="ListParagraph"/>
        <w:numPr>
          <w:ilvl w:val="0"/>
          <w:numId w:val="39"/>
        </w:numPr>
        <w:ind w:left="2160"/>
      </w:pPr>
      <w:r w:rsidRPr="00F64C61">
        <w:t xml:space="preserve">the assessed property was not operational in </w:t>
      </w:r>
      <w:r w:rsidR="00312DEA" w:rsidRPr="00F64C61">
        <w:t xml:space="preserve">a </w:t>
      </w:r>
      <w:r w:rsidRPr="00F64C61">
        <w:t>prior year</w:t>
      </w:r>
      <w:r w:rsidR="00AA4DA5" w:rsidRPr="00F64C61">
        <w:t xml:space="preserve"> </w:t>
      </w:r>
      <w:r w:rsidR="00CA0775" w:rsidRPr="00F64C61">
        <w:t xml:space="preserve">(as </w:t>
      </w:r>
      <w:r w:rsidR="00AA4DA5" w:rsidRPr="00F64C61">
        <w:t>no assessment was prepared for the assessed property</w:t>
      </w:r>
      <w:r w:rsidR="00CA0775" w:rsidRPr="00F64C61">
        <w:t>)</w:t>
      </w:r>
      <w:r w:rsidR="008B6C01" w:rsidRPr="00F64C61">
        <w:t xml:space="preserve">, </w:t>
      </w:r>
      <w:r w:rsidR="00651F2C" w:rsidRPr="00F64C61">
        <w:t>and</w:t>
      </w:r>
    </w:p>
    <w:p w:rsidR="008B2060" w:rsidRPr="00F64C61" w:rsidRDefault="0028432F" w:rsidP="00293AEB">
      <w:pPr>
        <w:pStyle w:val="ListParagraph"/>
        <w:numPr>
          <w:ilvl w:val="0"/>
          <w:numId w:val="39"/>
        </w:numPr>
        <w:ind w:left="2160"/>
      </w:pPr>
      <w:r w:rsidRPr="00F64C61">
        <w:t>Part 5</w:t>
      </w:r>
      <w:r w:rsidR="00CB4428" w:rsidRPr="00F64C61">
        <w:t xml:space="preserve"> requires that a portion of the </w:t>
      </w:r>
      <w:r w:rsidR="00F44166">
        <w:t>included cost</w:t>
      </w:r>
      <w:r w:rsidR="00CB4428" w:rsidRPr="00F64C61">
        <w:t xml:space="preserve"> be removed to reflect the costs of former assessed property</w:t>
      </w:r>
      <w:r w:rsidR="00F13242" w:rsidRPr="00F64C61">
        <w:t xml:space="preserve"> (removals, including removals for alterations)</w:t>
      </w:r>
      <w:r w:rsidR="008B6C01" w:rsidRPr="00F64C61">
        <w:t>.</w:t>
      </w:r>
      <w:r w:rsidR="00925900" w:rsidRPr="00F64C61">
        <w:t xml:space="preserve"> </w:t>
      </w:r>
    </w:p>
    <w:tbl>
      <w:tblPr>
        <w:tblStyle w:val="TableGrid"/>
        <w:tblW w:w="0" w:type="auto"/>
        <w:tblInd w:w="1548" w:type="dxa"/>
        <w:tblLook w:val="04A0" w:firstRow="1" w:lastRow="0" w:firstColumn="1" w:lastColumn="0" w:noHBand="0" w:noVBand="1"/>
      </w:tblPr>
      <w:tblGrid>
        <w:gridCol w:w="8028"/>
      </w:tblGrid>
      <w:tr w:rsidR="00AD62B2" w:rsidRPr="00F64C61" w:rsidTr="00AD62B2">
        <w:tc>
          <w:tcPr>
            <w:tcW w:w="8028" w:type="dxa"/>
          </w:tcPr>
          <w:p w:rsidR="00AD62B2" w:rsidRPr="00F64C61" w:rsidRDefault="00AD62B2" w:rsidP="003D4E8C">
            <w:pPr>
              <w:spacing w:before="120"/>
            </w:pPr>
            <w:r w:rsidRPr="00F64C61">
              <w:t xml:space="preserve">Section 10(2) contains </w:t>
            </w:r>
            <w:r w:rsidR="000D3FC0" w:rsidRPr="00F64C61">
              <w:t xml:space="preserve">a grandfathering rule, where the </w:t>
            </w:r>
            <w:r w:rsidR="00F44166">
              <w:t>included cost</w:t>
            </w:r>
            <w:r w:rsidR="000D3FC0" w:rsidRPr="00F64C61">
              <w:t xml:space="preserve"> used </w:t>
            </w:r>
            <w:r w:rsidR="000413B1" w:rsidRPr="00F64C61">
              <w:t xml:space="preserve">to calculate </w:t>
            </w:r>
            <w:r w:rsidR="000D3FC0" w:rsidRPr="00F64C61">
              <w:t xml:space="preserve">past years assessments must be carried forward </w:t>
            </w:r>
            <w:r w:rsidR="000413B1" w:rsidRPr="00F64C61">
              <w:t>unless the exceptions listed in clauses (a) to (c) apply.</w:t>
            </w:r>
            <w:r w:rsidR="00B92121" w:rsidRPr="00F64C61">
              <w:t xml:space="preserve"> This approach avoids the need to </w:t>
            </w:r>
          </w:p>
          <w:p w:rsidR="00B92121" w:rsidRPr="00F64C61" w:rsidRDefault="00E70F71" w:rsidP="00B92121">
            <w:pPr>
              <w:pStyle w:val="ListParagraph"/>
              <w:numPr>
                <w:ilvl w:val="0"/>
                <w:numId w:val="40"/>
              </w:numPr>
            </w:pPr>
            <w:r>
              <w:t>r</w:t>
            </w:r>
            <w:r w:rsidR="00B92121" w:rsidRPr="00F64C61">
              <w:t>eport on past years;</w:t>
            </w:r>
          </w:p>
          <w:p w:rsidR="00B92121" w:rsidRPr="003D4E8C" w:rsidRDefault="00E70F71" w:rsidP="003D4E8C">
            <w:pPr>
              <w:pStyle w:val="ListParagraph"/>
              <w:numPr>
                <w:ilvl w:val="0"/>
                <w:numId w:val="40"/>
              </w:numPr>
              <w:spacing w:after="120"/>
            </w:pPr>
            <w:proofErr w:type="gramStart"/>
            <w:r>
              <w:t>re-do</w:t>
            </w:r>
            <w:proofErr w:type="gramEnd"/>
            <w:r>
              <w:t xml:space="preserve"> work for past years.</w:t>
            </w:r>
          </w:p>
        </w:tc>
      </w:tr>
    </w:tbl>
    <w:p w:rsidR="00E70F71" w:rsidRDefault="00E70F71" w:rsidP="008925A0">
      <w:pPr>
        <w:jc w:val="center"/>
        <w:rPr>
          <w:b/>
          <w:sz w:val="24"/>
          <w:szCs w:val="24"/>
        </w:rPr>
      </w:pPr>
    </w:p>
    <w:p w:rsidR="003231A0" w:rsidRPr="00F64C61" w:rsidRDefault="003231A0" w:rsidP="008925A0">
      <w:pPr>
        <w:jc w:val="center"/>
        <w:rPr>
          <w:b/>
          <w:sz w:val="24"/>
          <w:szCs w:val="24"/>
        </w:rPr>
      </w:pPr>
      <w:r w:rsidRPr="00F64C61">
        <w:rPr>
          <w:b/>
          <w:sz w:val="24"/>
          <w:szCs w:val="24"/>
        </w:rPr>
        <w:t>Part 3</w:t>
      </w:r>
    </w:p>
    <w:p w:rsidR="00196FC8" w:rsidRPr="00F64C61" w:rsidRDefault="00196FC8" w:rsidP="00EA3983">
      <w:pPr>
        <w:pStyle w:val="NoSpacing"/>
        <w:jc w:val="center"/>
        <w:rPr>
          <w:b/>
        </w:rPr>
      </w:pPr>
      <w:r w:rsidRPr="00F64C61">
        <w:rPr>
          <w:b/>
        </w:rPr>
        <w:t xml:space="preserve">Labour and Transportation Costs Determination </w:t>
      </w:r>
    </w:p>
    <w:p w:rsidR="00762F75" w:rsidRDefault="00196FC8" w:rsidP="00762F75">
      <w:pPr>
        <w:spacing w:before="120" w:after="0"/>
        <w:jc w:val="center"/>
        <w:rPr>
          <w:b/>
          <w:lang w:val="en-US"/>
        </w:rPr>
      </w:pPr>
      <w:r w:rsidRPr="00F64C61">
        <w:rPr>
          <w:b/>
          <w:lang w:val="en-US"/>
        </w:rPr>
        <w:t>Division 1</w:t>
      </w:r>
    </w:p>
    <w:p w:rsidR="00196FC8" w:rsidRPr="00F44166" w:rsidRDefault="00196FC8" w:rsidP="00762F75">
      <w:pPr>
        <w:spacing w:after="0"/>
        <w:jc w:val="center"/>
        <w:rPr>
          <w:b/>
          <w:lang w:val="en-US"/>
        </w:rPr>
      </w:pPr>
      <w:r w:rsidRPr="00F64C61">
        <w:rPr>
          <w:b/>
          <w:lang w:val="en-US"/>
        </w:rPr>
        <w:t>Labour Costs Determination</w:t>
      </w:r>
    </w:p>
    <w:p w:rsidR="00EA3983" w:rsidRPr="00F64C61" w:rsidRDefault="00EA3983" w:rsidP="00EA3983">
      <w:pPr>
        <w:spacing w:after="0" w:line="240" w:lineRule="auto"/>
        <w:ind w:left="720" w:firstLine="720"/>
        <w:rPr>
          <w:b/>
        </w:rPr>
      </w:pPr>
      <w:r w:rsidRPr="00F64C61">
        <w:rPr>
          <w:b/>
        </w:rPr>
        <w:t>Definitions</w:t>
      </w:r>
    </w:p>
    <w:p w:rsidR="00EA3983" w:rsidRPr="00F64C61" w:rsidRDefault="00EA3983" w:rsidP="00EA3983">
      <w:pPr>
        <w:spacing w:after="100"/>
        <w:ind w:left="1440"/>
      </w:pPr>
      <w:r w:rsidRPr="00F64C61">
        <w:rPr>
          <w:b/>
        </w:rPr>
        <w:t>13</w:t>
      </w:r>
      <w:r w:rsidRPr="00F64C61">
        <w:t xml:space="preserve"> In this division, </w:t>
      </w:r>
    </w:p>
    <w:p w:rsidR="00EA3983" w:rsidRPr="00F64C61" w:rsidRDefault="00EA3983" w:rsidP="00EA3983">
      <w:pPr>
        <w:pStyle w:val="ListParagraph"/>
        <w:numPr>
          <w:ilvl w:val="0"/>
          <w:numId w:val="42"/>
        </w:numPr>
        <w:spacing w:after="100"/>
      </w:pPr>
      <w:r w:rsidRPr="00F64C61">
        <w:t>“Alberta Wage and Salary Survey” means the wages and salary information prepared by the Government of Alberta’s Ministry of Labour, as updated from time to time, and includes any successor wage-information program operated by the Government of Alberta.</w:t>
      </w:r>
    </w:p>
    <w:p w:rsidR="00EA3983" w:rsidRPr="00F64C61" w:rsidRDefault="00EA3983" w:rsidP="00EA3983">
      <w:pPr>
        <w:pStyle w:val="ListParagraph"/>
        <w:numPr>
          <w:ilvl w:val="0"/>
          <w:numId w:val="42"/>
        </w:numPr>
        <w:spacing w:after="100"/>
      </w:pPr>
      <w:r w:rsidRPr="00F64C61">
        <w:t xml:space="preserve">“rate” means the overall median wage, per hour, determined by the Alberta Wage and Salary Survey for a National Occupancy Classification, </w:t>
      </w:r>
    </w:p>
    <w:p w:rsidR="00EA3983" w:rsidRPr="00F64C61" w:rsidRDefault="00EA3983" w:rsidP="00EA3983">
      <w:pPr>
        <w:pStyle w:val="ListParagraph"/>
        <w:numPr>
          <w:ilvl w:val="1"/>
          <w:numId w:val="42"/>
        </w:numPr>
        <w:spacing w:after="100"/>
      </w:pPr>
      <w:r w:rsidRPr="00F64C61">
        <w:t>where Edmonton region data is available, for the Edmonton region,</w:t>
      </w:r>
    </w:p>
    <w:p w:rsidR="00EA3983" w:rsidRDefault="00EA3983" w:rsidP="00EA3983">
      <w:pPr>
        <w:pStyle w:val="ListParagraph"/>
        <w:numPr>
          <w:ilvl w:val="1"/>
          <w:numId w:val="42"/>
        </w:numPr>
        <w:spacing w:after="100"/>
      </w:pPr>
      <w:proofErr w:type="gramStart"/>
      <w:r w:rsidRPr="00F64C61">
        <w:t>where</w:t>
      </w:r>
      <w:proofErr w:type="gramEnd"/>
      <w:r w:rsidRPr="00F64C61">
        <w:t xml:space="preserve"> Edmonton region data is unav</w:t>
      </w:r>
      <w:r w:rsidR="00E70F71">
        <w:t>ailable,</w:t>
      </w:r>
      <w:r w:rsidRPr="00F64C61">
        <w:t xml:space="preserve"> for the Alberta region.</w:t>
      </w:r>
    </w:p>
    <w:p w:rsidR="00EA3983" w:rsidRPr="00F64C61" w:rsidRDefault="00EA3983" w:rsidP="00EA3983">
      <w:pPr>
        <w:pStyle w:val="ListParagraph"/>
        <w:numPr>
          <w:ilvl w:val="0"/>
          <w:numId w:val="42"/>
        </w:numPr>
        <w:spacing w:after="100"/>
      </w:pPr>
      <w:r>
        <w:t>“</w:t>
      </w:r>
      <w:proofErr w:type="gramStart"/>
      <w:r>
        <w:t>excluded</w:t>
      </w:r>
      <w:proofErr w:type="gramEnd"/>
      <w:r>
        <w:t xml:space="preserve"> costs” means only the costs listed in section 22(2).</w:t>
      </w:r>
    </w:p>
    <w:tbl>
      <w:tblPr>
        <w:tblStyle w:val="TableGrid"/>
        <w:tblW w:w="0" w:type="auto"/>
        <w:tblInd w:w="1440" w:type="dxa"/>
        <w:tblLook w:val="04A0" w:firstRow="1" w:lastRow="0" w:firstColumn="1" w:lastColumn="0" w:noHBand="0" w:noVBand="1"/>
      </w:tblPr>
      <w:tblGrid>
        <w:gridCol w:w="8136"/>
      </w:tblGrid>
      <w:tr w:rsidR="00EA3983" w:rsidRPr="00F64C61" w:rsidTr="008F4DC2">
        <w:tc>
          <w:tcPr>
            <w:tcW w:w="8136" w:type="dxa"/>
          </w:tcPr>
          <w:p w:rsidR="00EA3983" w:rsidRPr="00F64C61" w:rsidRDefault="00EA3983" w:rsidP="00E70F71">
            <w:pPr>
              <w:spacing w:before="120" w:after="120"/>
            </w:pPr>
            <w:r w:rsidRPr="00F64C61">
              <w:t>As of spring 2017, the Government of Alberta’s Ministry of Labour Learning Information Service wage information is contained on the “</w:t>
            </w:r>
            <w:proofErr w:type="spellStart"/>
            <w:r w:rsidRPr="00F64C61">
              <w:t>OCCinfo</w:t>
            </w:r>
            <w:proofErr w:type="spellEnd"/>
            <w:r w:rsidRPr="00F64C61">
              <w:t xml:space="preserve">” website, located online at </w:t>
            </w:r>
            <w:r w:rsidR="00E70F71" w:rsidRPr="00E70F71">
              <w:rPr>
                <w:u w:val="single"/>
              </w:rPr>
              <w:t>www.</w:t>
            </w:r>
            <w:r w:rsidRPr="00E70F71">
              <w:rPr>
                <w:u w:val="single"/>
              </w:rPr>
              <w:t>occinfo.alis.alberta.ca/occinfopreview/info/browse-wages.html</w:t>
            </w:r>
          </w:p>
        </w:tc>
      </w:tr>
    </w:tbl>
    <w:p w:rsidR="00EA3983" w:rsidRDefault="00EA3983" w:rsidP="00EA3983">
      <w:pPr>
        <w:spacing w:after="0" w:line="240" w:lineRule="auto"/>
        <w:ind w:left="720" w:firstLine="720"/>
        <w:rPr>
          <w:b/>
        </w:rPr>
      </w:pPr>
    </w:p>
    <w:p w:rsidR="00EA3983" w:rsidRPr="00F64C61" w:rsidRDefault="00EA3983" w:rsidP="00EA3983">
      <w:pPr>
        <w:spacing w:after="0" w:line="240" w:lineRule="auto"/>
        <w:ind w:left="720" w:firstLine="720"/>
      </w:pPr>
      <w:r w:rsidRPr="00F64C61">
        <w:rPr>
          <w:b/>
        </w:rPr>
        <w:t>Labour</w:t>
      </w:r>
      <w:r w:rsidRPr="00F64C61">
        <w:rPr>
          <w:b/>
          <w:lang w:val="en-US"/>
        </w:rPr>
        <w:t xml:space="preserve"> costs during construction</w:t>
      </w:r>
    </w:p>
    <w:p w:rsidR="00EA3983" w:rsidRPr="00F64C61" w:rsidRDefault="00EA3983" w:rsidP="00EA3983">
      <w:pPr>
        <w:spacing w:after="100"/>
        <w:ind w:left="1440"/>
      </w:pPr>
      <w:r w:rsidRPr="00A76954">
        <w:rPr>
          <w:b/>
        </w:rPr>
        <w:t>14</w:t>
      </w:r>
      <w:r>
        <w:t xml:space="preserve"> (1</w:t>
      </w:r>
      <w:r w:rsidRPr="00F64C61">
        <w:t xml:space="preserve">) The portion of </w:t>
      </w:r>
      <w:r w:rsidR="00F44166">
        <w:t>included cost</w:t>
      </w:r>
      <w:r w:rsidRPr="00F64C61">
        <w:t xml:space="preserve"> that reflects labour costs for a project for a year must be determined only in accordance with this section.</w:t>
      </w:r>
    </w:p>
    <w:p w:rsidR="00EA3983" w:rsidRPr="00F64C61" w:rsidRDefault="00EA3983" w:rsidP="00EA3983">
      <w:pPr>
        <w:spacing w:after="100"/>
        <w:ind w:left="1440"/>
      </w:pPr>
      <w:r w:rsidRPr="00F64C61">
        <w:t>(</w:t>
      </w:r>
      <w:r>
        <w:t>2</w:t>
      </w:r>
      <w:r w:rsidRPr="00F64C61">
        <w:t>) Where an assessed person reports labour costs for a classification on the basis of</w:t>
      </w:r>
    </w:p>
    <w:p w:rsidR="00EA3983" w:rsidRPr="00F64C61" w:rsidRDefault="00EA3983" w:rsidP="00EA3983">
      <w:pPr>
        <w:spacing w:after="100"/>
        <w:ind w:left="2160"/>
      </w:pPr>
      <w:r w:rsidRPr="00F64C61">
        <w:t xml:space="preserve">(a) </w:t>
      </w:r>
      <w:proofErr w:type="gramStart"/>
      <w:r w:rsidRPr="00F64C61">
        <w:t>the</w:t>
      </w:r>
      <w:proofErr w:type="gramEnd"/>
      <w:r w:rsidRPr="00F64C61">
        <w:t xml:space="preserve"> classification, according to the </w:t>
      </w:r>
      <w:r w:rsidRPr="00F64C61">
        <w:rPr>
          <w:i/>
        </w:rPr>
        <w:t>National Occupation Classification</w:t>
      </w:r>
      <w:r w:rsidRPr="00F64C61">
        <w:t>, and</w:t>
      </w:r>
    </w:p>
    <w:p w:rsidR="00EA3983" w:rsidRPr="00F64C61" w:rsidRDefault="00EA3983" w:rsidP="00EA3983">
      <w:pPr>
        <w:spacing w:after="100"/>
        <w:ind w:left="1440" w:firstLine="720"/>
      </w:pPr>
      <w:r w:rsidRPr="00F64C61">
        <w:t xml:space="preserve">(b) </w:t>
      </w:r>
      <w:proofErr w:type="gramStart"/>
      <w:r w:rsidRPr="00F64C61">
        <w:t>classification</w:t>
      </w:r>
      <w:proofErr w:type="gramEnd"/>
      <w:r w:rsidRPr="00F64C61">
        <w:t xml:space="preserve"> hours worked, </w:t>
      </w:r>
    </w:p>
    <w:p w:rsidR="00EA3983" w:rsidRPr="00F64C61" w:rsidRDefault="00EA3983" w:rsidP="00EA3983">
      <w:pPr>
        <w:spacing w:after="100"/>
        <w:ind w:left="1440"/>
      </w:pPr>
      <w:proofErr w:type="gramStart"/>
      <w:r w:rsidRPr="00F64C61">
        <w:t>the</w:t>
      </w:r>
      <w:proofErr w:type="gramEnd"/>
      <w:r w:rsidRPr="00F64C61">
        <w:t xml:space="preserve"> labour costs for the classification must be determined according to </w:t>
      </w:r>
      <w:r>
        <w:t>rate by the classification’s hours worked</w:t>
      </w:r>
      <w:r w:rsidRPr="00F64C61">
        <w:t xml:space="preserve">. </w:t>
      </w:r>
    </w:p>
    <w:p w:rsidR="00EA3983" w:rsidRDefault="00EA3983" w:rsidP="00EA3983">
      <w:pPr>
        <w:spacing w:after="100"/>
        <w:ind w:left="1440"/>
      </w:pPr>
      <w:r w:rsidRPr="00F64C61">
        <w:t>(</w:t>
      </w:r>
      <w:r>
        <w:t>3</w:t>
      </w:r>
      <w:r w:rsidRPr="00F64C61">
        <w:t xml:space="preserve">) Where the assessed person’s report does not include complete information with respect to a labour classification according to the </w:t>
      </w:r>
      <w:r w:rsidRPr="00F64C61">
        <w:rPr>
          <w:i/>
        </w:rPr>
        <w:t xml:space="preserve">National Occupation Classification </w:t>
      </w:r>
      <w:r w:rsidRPr="00F64C61">
        <w:t>or hours worked, the labour costs for the classification must be determined according to</w:t>
      </w:r>
      <w:r>
        <w:t xml:space="preserve"> the actual labour costs incurred for that classification</w:t>
      </w:r>
      <w:r w:rsidRPr="00F64C61">
        <w:t xml:space="preserve">.  </w:t>
      </w:r>
    </w:p>
    <w:p w:rsidR="00EA3983" w:rsidRPr="00F64C61" w:rsidRDefault="00EA3983" w:rsidP="00EA3983">
      <w:pPr>
        <w:spacing w:after="100"/>
        <w:ind w:left="1440"/>
      </w:pPr>
      <w:r w:rsidRPr="00F64C61">
        <w:t>(</w:t>
      </w:r>
      <w:r>
        <w:t>4</w:t>
      </w:r>
      <w:r w:rsidRPr="00F64C61">
        <w:t xml:space="preserve">) Total labour costs must be determined </w:t>
      </w:r>
      <w:r>
        <w:t>as the sum of 14(2) and 14(3) less any excluded costs.</w:t>
      </w:r>
    </w:p>
    <w:tbl>
      <w:tblPr>
        <w:tblStyle w:val="TableGrid"/>
        <w:tblW w:w="0" w:type="auto"/>
        <w:tblInd w:w="1440" w:type="dxa"/>
        <w:tblLook w:val="04A0" w:firstRow="1" w:lastRow="0" w:firstColumn="1" w:lastColumn="0" w:noHBand="0" w:noVBand="1"/>
      </w:tblPr>
      <w:tblGrid>
        <w:gridCol w:w="8136"/>
      </w:tblGrid>
      <w:tr w:rsidR="00EA3983" w:rsidRPr="00F64C61" w:rsidTr="008F4DC2">
        <w:tc>
          <w:tcPr>
            <w:tcW w:w="8136" w:type="dxa"/>
          </w:tcPr>
          <w:p w:rsidR="00EA3983" w:rsidRPr="00F64C61" w:rsidRDefault="00EA3983" w:rsidP="008F4DC2">
            <w:pPr>
              <w:spacing w:before="120" w:after="120"/>
            </w:pPr>
            <w:r w:rsidRPr="00F64C61">
              <w:t xml:space="preserve">Some RFI response reports may contain complete information for some National Occupancy Classifications and incomplete information about other National Occupancy Classifications. It is appropriate to determine labour costs on the basis of the most complete information available, using actual costs for some labour, and NOC-calculated costs for other labour. All of the labour costs (both actual and NOC-calculated) are added together to determine raw labour costs.   </w:t>
            </w:r>
          </w:p>
        </w:tc>
      </w:tr>
    </w:tbl>
    <w:p w:rsidR="00196FC8" w:rsidRPr="00F64C61" w:rsidRDefault="00196FC8" w:rsidP="00EA3983">
      <w:pPr>
        <w:spacing w:before="240" w:after="0"/>
        <w:ind w:left="720"/>
        <w:jc w:val="center"/>
        <w:rPr>
          <w:b/>
          <w:lang w:val="en-US"/>
        </w:rPr>
      </w:pPr>
      <w:r w:rsidRPr="00F64C61">
        <w:rPr>
          <w:b/>
          <w:lang w:val="en-US"/>
        </w:rPr>
        <w:t xml:space="preserve">Division 2 </w:t>
      </w:r>
    </w:p>
    <w:p w:rsidR="00196FC8" w:rsidRPr="00F64C61" w:rsidRDefault="00196FC8" w:rsidP="00196FC8">
      <w:pPr>
        <w:spacing w:after="100"/>
        <w:ind w:left="720"/>
        <w:jc w:val="center"/>
        <w:rPr>
          <w:b/>
          <w:lang w:val="en-US"/>
        </w:rPr>
      </w:pPr>
      <w:r w:rsidRPr="00F64C61">
        <w:rPr>
          <w:b/>
          <w:lang w:val="en-US"/>
        </w:rPr>
        <w:t>Transportation Costs Determination</w:t>
      </w:r>
    </w:p>
    <w:p w:rsidR="00196FC8" w:rsidRPr="00F64C61" w:rsidRDefault="000D58BE" w:rsidP="003E7FB8">
      <w:pPr>
        <w:spacing w:after="0" w:line="240" w:lineRule="auto"/>
        <w:ind w:left="720" w:firstLine="720"/>
        <w:rPr>
          <w:b/>
          <w:lang w:val="en-US"/>
        </w:rPr>
      </w:pPr>
      <w:r w:rsidRPr="00F64C61">
        <w:rPr>
          <w:b/>
        </w:rPr>
        <w:t>Definitions</w:t>
      </w:r>
    </w:p>
    <w:p w:rsidR="00196FC8" w:rsidRPr="00F64C61" w:rsidRDefault="000D58BE" w:rsidP="00196FC8">
      <w:pPr>
        <w:spacing w:after="100"/>
        <w:ind w:left="1440"/>
        <w:rPr>
          <w:lang w:val="en-US"/>
        </w:rPr>
      </w:pPr>
      <w:r w:rsidRPr="00F64C61">
        <w:rPr>
          <w:b/>
          <w:bCs/>
          <w:lang w:val="en-US"/>
        </w:rPr>
        <w:t>15</w:t>
      </w:r>
      <w:r w:rsidR="00196FC8" w:rsidRPr="00F64C61">
        <w:rPr>
          <w:lang w:val="en-US"/>
        </w:rPr>
        <w:t xml:space="preserve"> In this division, “transportation costs” means the costs of transportation of materials to the assessed property’s location, from wherever the materials originated, except for </w:t>
      </w:r>
    </w:p>
    <w:p w:rsidR="00196FC8" w:rsidRPr="00F64C61" w:rsidRDefault="00196FC8" w:rsidP="00B73FCC">
      <w:pPr>
        <w:pStyle w:val="ListParagraph"/>
        <w:numPr>
          <w:ilvl w:val="0"/>
          <w:numId w:val="33"/>
        </w:numPr>
        <w:spacing w:after="100"/>
        <w:ind w:left="2160"/>
        <w:rPr>
          <w:lang w:val="en-US"/>
        </w:rPr>
      </w:pPr>
      <w:proofErr w:type="gramStart"/>
      <w:r w:rsidRPr="00F64C61">
        <w:rPr>
          <w:lang w:val="en-US"/>
        </w:rPr>
        <w:t>the</w:t>
      </w:r>
      <w:proofErr w:type="gramEnd"/>
      <w:r w:rsidRPr="00F64C61">
        <w:rPr>
          <w:lang w:val="en-US"/>
        </w:rPr>
        <w:t xml:space="preserve"> costs of transportation of materials from the place the materials originated, to the extent that those costs of transportation are built into the materials’ consolidated purchase price.</w:t>
      </w:r>
    </w:p>
    <w:p w:rsidR="00196FC8" w:rsidRPr="00F64C61" w:rsidRDefault="00196FC8" w:rsidP="00B73FCC">
      <w:pPr>
        <w:pStyle w:val="ListParagraph"/>
        <w:numPr>
          <w:ilvl w:val="0"/>
          <w:numId w:val="33"/>
        </w:numPr>
        <w:spacing w:after="100"/>
        <w:ind w:left="2160"/>
        <w:rPr>
          <w:lang w:val="en-US"/>
        </w:rPr>
      </w:pPr>
      <w:r w:rsidRPr="00F64C61">
        <w:rPr>
          <w:lang w:val="en-US"/>
        </w:rPr>
        <w:t>the cost to load and unload materials, and</w:t>
      </w:r>
    </w:p>
    <w:p w:rsidR="00196FC8" w:rsidRPr="00F64C61" w:rsidRDefault="00196FC8" w:rsidP="00B73FCC">
      <w:pPr>
        <w:pStyle w:val="ListParagraph"/>
        <w:numPr>
          <w:ilvl w:val="0"/>
          <w:numId w:val="33"/>
        </w:numPr>
        <w:spacing w:after="100"/>
        <w:ind w:left="2160"/>
        <w:rPr>
          <w:lang w:val="en-US"/>
        </w:rPr>
      </w:pPr>
      <w:proofErr w:type="gramStart"/>
      <w:r w:rsidRPr="00F64C61">
        <w:rPr>
          <w:lang w:val="en-US"/>
        </w:rPr>
        <w:t>the</w:t>
      </w:r>
      <w:proofErr w:type="gramEnd"/>
      <w:r w:rsidRPr="00F64C61">
        <w:rPr>
          <w:lang w:val="en-US"/>
        </w:rPr>
        <w:t xml:space="preserve"> cost of moving materials at, on</w:t>
      </w:r>
      <w:r w:rsidR="00E70F71">
        <w:rPr>
          <w:lang w:val="en-US"/>
        </w:rPr>
        <w:t>,</w:t>
      </w:r>
      <w:r w:rsidRPr="00F64C61">
        <w:rPr>
          <w:lang w:val="en-US"/>
        </w:rPr>
        <w:t xml:space="preserve"> and around the location of the assessed property.  </w:t>
      </w:r>
    </w:p>
    <w:p w:rsidR="000D58BE" w:rsidRPr="00F64C61" w:rsidRDefault="000D58BE" w:rsidP="000D58BE">
      <w:pPr>
        <w:spacing w:after="0" w:line="240" w:lineRule="auto"/>
        <w:ind w:left="720" w:firstLine="720"/>
        <w:rPr>
          <w:b/>
          <w:lang w:val="en-US"/>
        </w:rPr>
      </w:pPr>
      <w:r w:rsidRPr="00F64C61">
        <w:rPr>
          <w:b/>
          <w:lang w:val="en-US"/>
        </w:rPr>
        <w:t>Application</w:t>
      </w:r>
    </w:p>
    <w:p w:rsidR="00196FC8" w:rsidRPr="00F64C61" w:rsidRDefault="000D58BE" w:rsidP="00196FC8">
      <w:pPr>
        <w:spacing w:after="100"/>
        <w:ind w:left="1440"/>
        <w:rPr>
          <w:lang w:val="en-US"/>
        </w:rPr>
      </w:pPr>
      <w:r w:rsidRPr="00F64C61">
        <w:rPr>
          <w:b/>
          <w:lang w:val="en-US"/>
        </w:rPr>
        <w:t>16</w:t>
      </w:r>
      <w:r w:rsidR="00196FC8" w:rsidRPr="00F64C61">
        <w:rPr>
          <w:lang w:val="en-US"/>
        </w:rPr>
        <w:t xml:space="preserve"> </w:t>
      </w:r>
      <w:r w:rsidR="00196FC8" w:rsidRPr="00F64C61">
        <w:t xml:space="preserve">The transportation costs for a project </w:t>
      </w:r>
      <w:r w:rsidR="00A14E52" w:rsidRPr="00F64C61">
        <w:t xml:space="preserve">in a year </w:t>
      </w:r>
      <w:r w:rsidR="00196FC8" w:rsidRPr="00F64C61">
        <w:t>consist of the sum of each transportation cost determined in accordance with this division.</w:t>
      </w:r>
    </w:p>
    <w:p w:rsidR="00196FC8" w:rsidRPr="00F64C61" w:rsidRDefault="00196FC8" w:rsidP="003E7FB8">
      <w:pPr>
        <w:spacing w:after="0" w:line="240" w:lineRule="auto"/>
        <w:ind w:left="720" w:firstLine="720"/>
        <w:rPr>
          <w:b/>
          <w:lang w:val="en-US"/>
        </w:rPr>
      </w:pPr>
      <w:r w:rsidRPr="00F64C61">
        <w:rPr>
          <w:b/>
          <w:lang w:val="en-US"/>
        </w:rPr>
        <w:t xml:space="preserve">Property </w:t>
      </w:r>
      <w:r w:rsidRPr="00F64C61">
        <w:rPr>
          <w:b/>
        </w:rPr>
        <w:t>located</w:t>
      </w:r>
      <w:r w:rsidRPr="00F64C61">
        <w:rPr>
          <w:b/>
          <w:lang w:val="en-US"/>
        </w:rPr>
        <w:t xml:space="preserve"> in the Edmonton area</w:t>
      </w:r>
    </w:p>
    <w:p w:rsidR="00196FC8" w:rsidRPr="00F64C61" w:rsidRDefault="008601B3" w:rsidP="00196FC8">
      <w:pPr>
        <w:spacing w:after="100"/>
        <w:ind w:left="1440"/>
        <w:rPr>
          <w:lang w:val="en-US"/>
        </w:rPr>
      </w:pPr>
      <w:r w:rsidRPr="00F64C61">
        <w:rPr>
          <w:b/>
          <w:lang w:val="en-US"/>
        </w:rPr>
        <w:t xml:space="preserve">17 </w:t>
      </w:r>
      <w:r w:rsidR="00196FC8" w:rsidRPr="00F64C61">
        <w:rPr>
          <w:lang w:val="en-US"/>
        </w:rPr>
        <w:t xml:space="preserve">Where materials are transported to an assessed property in the Edmonton </w:t>
      </w:r>
      <w:r w:rsidR="00E70F71">
        <w:rPr>
          <w:lang w:val="en-US"/>
        </w:rPr>
        <w:t>a</w:t>
      </w:r>
      <w:r w:rsidR="00196FC8" w:rsidRPr="00F64C61">
        <w:rPr>
          <w:lang w:val="en-US"/>
        </w:rPr>
        <w:t xml:space="preserve">rea, the actual costs of transporting those materials are a transportation cost. </w:t>
      </w:r>
    </w:p>
    <w:p w:rsidR="00196FC8" w:rsidRPr="00F64C61" w:rsidRDefault="00196FC8" w:rsidP="003E7FB8">
      <w:pPr>
        <w:spacing w:after="0" w:line="240" w:lineRule="auto"/>
        <w:ind w:left="720" w:firstLine="720"/>
        <w:rPr>
          <w:b/>
          <w:lang w:val="en-US"/>
        </w:rPr>
      </w:pPr>
      <w:r w:rsidRPr="00F64C61">
        <w:rPr>
          <w:b/>
          <w:lang w:val="en-US"/>
        </w:rPr>
        <w:t xml:space="preserve">The </w:t>
      </w:r>
      <w:r w:rsidRPr="00F64C61">
        <w:rPr>
          <w:b/>
        </w:rPr>
        <w:t>Edmonton</w:t>
      </w:r>
      <w:r w:rsidRPr="00F64C61">
        <w:rPr>
          <w:b/>
          <w:lang w:val="en-US"/>
        </w:rPr>
        <w:t xml:space="preserve"> area principle</w:t>
      </w:r>
    </w:p>
    <w:p w:rsidR="00196FC8" w:rsidRPr="00F64C61" w:rsidRDefault="008601B3" w:rsidP="00196FC8">
      <w:pPr>
        <w:spacing w:after="100"/>
        <w:ind w:left="1440"/>
        <w:rPr>
          <w:lang w:val="en-US"/>
        </w:rPr>
      </w:pPr>
      <w:r w:rsidRPr="00F64C61">
        <w:rPr>
          <w:b/>
          <w:lang w:val="en-US"/>
        </w:rPr>
        <w:t xml:space="preserve">18 </w:t>
      </w:r>
      <w:r w:rsidR="00196FC8" w:rsidRPr="00F64C61">
        <w:rPr>
          <w:lang w:val="en-US"/>
        </w:rPr>
        <w:t xml:space="preserve">Where materials are transported to an assessed property located somewhere other than the Edmonton </w:t>
      </w:r>
      <w:r w:rsidR="00E70F71">
        <w:rPr>
          <w:lang w:val="en-US"/>
        </w:rPr>
        <w:t>a</w:t>
      </w:r>
      <w:r w:rsidR="00196FC8" w:rsidRPr="00F64C61">
        <w:rPr>
          <w:lang w:val="en-US"/>
        </w:rPr>
        <w:t>rea, the transportation cost must be determined as follows:</w:t>
      </w:r>
    </w:p>
    <w:p w:rsidR="00196FC8" w:rsidRPr="00F64C61" w:rsidRDefault="00196FC8" w:rsidP="00B73FCC">
      <w:pPr>
        <w:spacing w:after="100"/>
        <w:ind w:left="1800"/>
        <w:rPr>
          <w:lang w:val="en-US"/>
        </w:rPr>
      </w:pPr>
      <w:r w:rsidRPr="00F64C61">
        <w:rPr>
          <w:lang w:val="en-US"/>
        </w:rPr>
        <w:t xml:space="preserve">(a) </w:t>
      </w:r>
      <w:proofErr w:type="gramStart"/>
      <w:r w:rsidRPr="00F64C61">
        <w:rPr>
          <w:lang w:val="en-US"/>
        </w:rPr>
        <w:t>if</w:t>
      </w:r>
      <w:proofErr w:type="gramEnd"/>
      <w:r w:rsidRPr="00F64C61">
        <w:rPr>
          <w:lang w:val="en-US"/>
        </w:rPr>
        <w:t xml:space="preserve"> the materials originated at a place further away from the location of the assessed property than the Edmonton </w:t>
      </w:r>
      <w:r w:rsidR="00E70F71">
        <w:rPr>
          <w:lang w:val="en-US"/>
        </w:rPr>
        <w:t>a</w:t>
      </w:r>
      <w:r w:rsidRPr="00F64C61">
        <w:rPr>
          <w:lang w:val="en-US"/>
        </w:rPr>
        <w:t xml:space="preserve">rea, and </w:t>
      </w:r>
    </w:p>
    <w:p w:rsidR="00196FC8" w:rsidRPr="00F64C61" w:rsidRDefault="00196FC8" w:rsidP="00B73FCC">
      <w:pPr>
        <w:spacing w:after="100"/>
        <w:ind w:left="2160"/>
        <w:rPr>
          <w:lang w:val="en-US"/>
        </w:rPr>
      </w:pPr>
      <w:r w:rsidRPr="00F64C61">
        <w:rPr>
          <w:lang w:val="en-US"/>
        </w:rPr>
        <w:t>(</w:t>
      </w:r>
      <w:proofErr w:type="spellStart"/>
      <w:r w:rsidRPr="00F64C61">
        <w:rPr>
          <w:lang w:val="en-US"/>
        </w:rPr>
        <w:t>i</w:t>
      </w:r>
      <w:proofErr w:type="spellEnd"/>
      <w:r w:rsidRPr="00F64C61">
        <w:rPr>
          <w:lang w:val="en-US"/>
        </w:rPr>
        <w:t xml:space="preserve">) </w:t>
      </w:r>
      <w:proofErr w:type="gramStart"/>
      <w:r w:rsidRPr="00F64C61">
        <w:rPr>
          <w:lang w:val="en-US"/>
        </w:rPr>
        <w:t>if</w:t>
      </w:r>
      <w:proofErr w:type="gramEnd"/>
      <w:r w:rsidRPr="00F64C61">
        <w:rPr>
          <w:lang w:val="en-US"/>
        </w:rPr>
        <w:t xml:space="preserve"> the actual costs of transportation of those materials to the City of Edmonton from their point of origin can be ascertained,</w:t>
      </w:r>
    </w:p>
    <w:p w:rsidR="00196FC8" w:rsidRPr="00F64C61" w:rsidRDefault="00196FC8" w:rsidP="00B73FCC">
      <w:pPr>
        <w:spacing w:after="100"/>
        <w:ind w:left="2700"/>
        <w:rPr>
          <w:lang w:val="en-US"/>
        </w:rPr>
      </w:pPr>
      <w:r w:rsidRPr="00F64C61">
        <w:rPr>
          <w:lang w:val="en-US"/>
        </w:rPr>
        <w:t xml:space="preserve">(A) </w:t>
      </w:r>
      <w:proofErr w:type="gramStart"/>
      <w:r w:rsidRPr="00F64C61">
        <w:rPr>
          <w:lang w:val="en-US"/>
        </w:rPr>
        <w:t>the</w:t>
      </w:r>
      <w:proofErr w:type="gramEnd"/>
      <w:r w:rsidRPr="00F64C61">
        <w:rPr>
          <w:lang w:val="en-US"/>
        </w:rPr>
        <w:t xml:space="preserve"> transportation cost is the actual cost of transporting the materials to the City of Edmonton from their point of origin, which may be determined on a pro-rated basis, and </w:t>
      </w:r>
    </w:p>
    <w:p w:rsidR="00196FC8" w:rsidRPr="00F64C61" w:rsidRDefault="00196FC8" w:rsidP="00B73FCC">
      <w:pPr>
        <w:spacing w:after="100"/>
        <w:ind w:left="2700"/>
        <w:rPr>
          <w:lang w:val="en-US"/>
        </w:rPr>
      </w:pPr>
      <w:r w:rsidRPr="00F64C61">
        <w:rPr>
          <w:lang w:val="en-US"/>
        </w:rPr>
        <w:t>(B) any other actual costs of transporting the materials past the City of Edmonton, which may be determined on a pro-rated basis, is not a transportation cost for the purposes of this section; or</w:t>
      </w:r>
    </w:p>
    <w:p w:rsidR="00196FC8" w:rsidRPr="00F64C61" w:rsidRDefault="00196FC8" w:rsidP="00B73FCC">
      <w:pPr>
        <w:spacing w:after="100"/>
        <w:ind w:left="2160"/>
        <w:rPr>
          <w:lang w:val="en-US"/>
        </w:rPr>
      </w:pPr>
      <w:r w:rsidRPr="00F64C61">
        <w:rPr>
          <w:lang w:val="en-US"/>
        </w:rPr>
        <w:t xml:space="preserve">(ii) </w:t>
      </w:r>
      <w:proofErr w:type="gramStart"/>
      <w:r w:rsidRPr="00F64C61">
        <w:rPr>
          <w:lang w:val="en-US"/>
        </w:rPr>
        <w:t>if</w:t>
      </w:r>
      <w:proofErr w:type="gramEnd"/>
      <w:r w:rsidRPr="00F64C61">
        <w:rPr>
          <w:lang w:val="en-US"/>
        </w:rPr>
        <w:t xml:space="preserve"> the actual costs of transportation of t</w:t>
      </w:r>
      <w:r w:rsidR="00E70F71">
        <w:rPr>
          <w:lang w:val="en-US"/>
        </w:rPr>
        <w:t>hose materials to the Edmonton a</w:t>
      </w:r>
      <w:r w:rsidRPr="00F64C61">
        <w:rPr>
          <w:lang w:val="en-US"/>
        </w:rPr>
        <w:t>rea from their point of origin cannot be ascertained, or the materials did n</w:t>
      </w:r>
      <w:r w:rsidR="00E70F71">
        <w:rPr>
          <w:lang w:val="en-US"/>
        </w:rPr>
        <w:t>ot travel through the Edmonton a</w:t>
      </w:r>
      <w:r w:rsidRPr="00F64C61">
        <w:rPr>
          <w:lang w:val="en-US"/>
        </w:rPr>
        <w:t>rea,</w:t>
      </w:r>
    </w:p>
    <w:p w:rsidR="00196FC8" w:rsidRPr="00F64C61" w:rsidRDefault="00196FC8" w:rsidP="00B73FCC">
      <w:pPr>
        <w:spacing w:after="100"/>
        <w:ind w:left="2700"/>
        <w:rPr>
          <w:lang w:val="en-US"/>
        </w:rPr>
      </w:pPr>
      <w:r w:rsidRPr="00F64C61">
        <w:rPr>
          <w:lang w:val="en-US"/>
        </w:rPr>
        <w:t xml:space="preserve">(A) </w:t>
      </w:r>
      <w:proofErr w:type="gramStart"/>
      <w:r w:rsidRPr="00F64C61">
        <w:rPr>
          <w:lang w:val="en-US"/>
        </w:rPr>
        <w:t>the</w:t>
      </w:r>
      <w:proofErr w:type="gramEnd"/>
      <w:r w:rsidRPr="00F64C61">
        <w:rPr>
          <w:lang w:val="en-US"/>
        </w:rPr>
        <w:t xml:space="preserve"> transportation cost must be estimated on the basis of transportation of those materials from the point of origin to the City of Edmonton, and</w:t>
      </w:r>
    </w:p>
    <w:p w:rsidR="00196FC8" w:rsidRPr="00F64C61" w:rsidRDefault="00196FC8" w:rsidP="00B73FCC">
      <w:pPr>
        <w:spacing w:after="100"/>
        <w:ind w:left="2700"/>
        <w:rPr>
          <w:lang w:val="en-US"/>
        </w:rPr>
      </w:pPr>
      <w:r w:rsidRPr="00F64C61">
        <w:rPr>
          <w:lang w:val="en-US"/>
        </w:rPr>
        <w:t xml:space="preserve">(B) </w:t>
      </w:r>
      <w:proofErr w:type="gramStart"/>
      <w:r w:rsidRPr="00F64C61">
        <w:rPr>
          <w:lang w:val="en-US"/>
        </w:rPr>
        <w:t>the</w:t>
      </w:r>
      <w:proofErr w:type="gramEnd"/>
      <w:r w:rsidRPr="00F64C61">
        <w:rPr>
          <w:lang w:val="en-US"/>
        </w:rPr>
        <w:t xml:space="preserve"> actual costs of transportation of those materials are not a transportation cost for the purposes of this section;  or</w:t>
      </w:r>
    </w:p>
    <w:p w:rsidR="00196FC8" w:rsidRPr="00F64C61" w:rsidRDefault="00196FC8" w:rsidP="00B73FCC">
      <w:pPr>
        <w:spacing w:after="100"/>
        <w:ind w:left="1800"/>
        <w:rPr>
          <w:lang w:val="en-US"/>
        </w:rPr>
      </w:pPr>
      <w:r w:rsidRPr="00F64C61">
        <w:rPr>
          <w:lang w:val="en-US"/>
        </w:rPr>
        <w:t xml:space="preserve">(b) </w:t>
      </w:r>
      <w:proofErr w:type="gramStart"/>
      <w:r w:rsidRPr="00F64C61">
        <w:rPr>
          <w:lang w:val="en-US"/>
        </w:rPr>
        <w:t>if</w:t>
      </w:r>
      <w:proofErr w:type="gramEnd"/>
      <w:r w:rsidRPr="00F64C61">
        <w:rPr>
          <w:lang w:val="en-US"/>
        </w:rPr>
        <w:t xml:space="preserve"> the materials originated at a place closer to the location of the </w:t>
      </w:r>
      <w:r w:rsidRPr="00F64C61">
        <w:t>assessed</w:t>
      </w:r>
      <w:r w:rsidR="00E70F71">
        <w:rPr>
          <w:lang w:val="en-US"/>
        </w:rPr>
        <w:t xml:space="preserve"> property than the Edmonton a</w:t>
      </w:r>
      <w:r w:rsidRPr="00F64C61">
        <w:rPr>
          <w:lang w:val="en-US"/>
        </w:rPr>
        <w:t>rea, the estimated cost of transporting the materials to the City of Edmonton is the transportation cost.</w:t>
      </w:r>
    </w:p>
    <w:tbl>
      <w:tblPr>
        <w:tblStyle w:val="TableGrid"/>
        <w:tblW w:w="0" w:type="auto"/>
        <w:tblInd w:w="828" w:type="dxa"/>
        <w:tblLook w:val="04A0" w:firstRow="1" w:lastRow="0" w:firstColumn="1" w:lastColumn="0" w:noHBand="0" w:noVBand="1"/>
      </w:tblPr>
      <w:tblGrid>
        <w:gridCol w:w="8748"/>
      </w:tblGrid>
      <w:tr w:rsidR="00196FC8" w:rsidRPr="00F64C61" w:rsidTr="007127B3">
        <w:tc>
          <w:tcPr>
            <w:tcW w:w="8748" w:type="dxa"/>
          </w:tcPr>
          <w:p w:rsidR="00196FC8" w:rsidRPr="00F64C61" w:rsidRDefault="00196FC8" w:rsidP="00BB3383">
            <w:pPr>
              <w:spacing w:before="120"/>
            </w:pPr>
            <w:r w:rsidRPr="00F64C61">
              <w:t>The transportation costs determination is designed to treat all assessed property as if</w:t>
            </w:r>
            <w:r w:rsidR="00E70F71">
              <w:t xml:space="preserve"> it is located in the Edmonton a</w:t>
            </w:r>
            <w:r w:rsidRPr="00F64C61">
              <w:t>rea. By treating it as if it is in the same location, this allows transportation costs to be standardized.</w:t>
            </w:r>
          </w:p>
          <w:p w:rsidR="00196FC8" w:rsidRPr="00F64C61" w:rsidRDefault="00196FC8" w:rsidP="007127B3"/>
          <w:p w:rsidR="00196FC8" w:rsidRPr="00F64C61" w:rsidRDefault="00196FC8" w:rsidP="00BB3383">
            <w:pPr>
              <w:spacing w:after="120"/>
            </w:pPr>
            <w:r w:rsidRPr="00F64C61">
              <w:t xml:space="preserve">If a transportation cost is built into the purchase price of a material, then there is no transportation cost to be determined for the purposes of section </w:t>
            </w:r>
            <w:r w:rsidR="00F41EB4" w:rsidRPr="00F64C61">
              <w:t>18</w:t>
            </w:r>
            <w:r w:rsidRPr="00F64C61">
              <w:t>. There is only the price of the material, which is not to be adjusted for transportation costs. If</w:t>
            </w:r>
            <w:r w:rsidR="00BB3383" w:rsidRPr="00F64C61">
              <w:t>,</w:t>
            </w:r>
            <w:r w:rsidRPr="00F64C61">
              <w:t xml:space="preserve"> however</w:t>
            </w:r>
            <w:r w:rsidR="00BB3383" w:rsidRPr="00F64C61">
              <w:t>,</w:t>
            </w:r>
            <w:r w:rsidRPr="00F64C61">
              <w:t xml:space="preserve"> the vendor has shipped the material, and charged a separate shipping cost, then the shipping cost may be standardized according to section </w:t>
            </w:r>
            <w:r w:rsidR="00F41EB4" w:rsidRPr="00F64C61">
              <w:t>18</w:t>
            </w:r>
            <w:r w:rsidRPr="00F64C61">
              <w:t>.</w:t>
            </w:r>
          </w:p>
        </w:tc>
      </w:tr>
    </w:tbl>
    <w:p w:rsidR="00196FC8" w:rsidRPr="00F64C61" w:rsidRDefault="00196FC8" w:rsidP="00F743B8">
      <w:pPr>
        <w:pStyle w:val="NoSpacing"/>
        <w:tabs>
          <w:tab w:val="left" w:pos="4089"/>
          <w:tab w:val="center" w:pos="4680"/>
        </w:tabs>
        <w:jc w:val="center"/>
        <w:rPr>
          <w:b/>
        </w:rPr>
      </w:pPr>
    </w:p>
    <w:p w:rsidR="00F743B8" w:rsidRPr="00F64C61" w:rsidRDefault="00F743B8" w:rsidP="00F743B8">
      <w:pPr>
        <w:pStyle w:val="NoSpacing"/>
        <w:tabs>
          <w:tab w:val="left" w:pos="4089"/>
          <w:tab w:val="center" w:pos="4680"/>
        </w:tabs>
        <w:jc w:val="center"/>
        <w:rPr>
          <w:b/>
          <w:sz w:val="24"/>
        </w:rPr>
      </w:pPr>
      <w:r w:rsidRPr="00F64C61">
        <w:rPr>
          <w:b/>
          <w:sz w:val="24"/>
        </w:rPr>
        <w:t xml:space="preserve">Part </w:t>
      </w:r>
      <w:r w:rsidR="00DC1F36" w:rsidRPr="00F64C61">
        <w:rPr>
          <w:b/>
          <w:sz w:val="24"/>
        </w:rPr>
        <w:t>4</w:t>
      </w:r>
    </w:p>
    <w:p w:rsidR="00196FC8" w:rsidRPr="00F64C61" w:rsidRDefault="00196FC8" w:rsidP="00196FC8">
      <w:pPr>
        <w:pStyle w:val="NoSpacing"/>
        <w:jc w:val="center"/>
        <w:rPr>
          <w:b/>
          <w:sz w:val="24"/>
          <w:szCs w:val="24"/>
        </w:rPr>
      </w:pPr>
      <w:r w:rsidRPr="00F64C61">
        <w:rPr>
          <w:b/>
          <w:sz w:val="24"/>
          <w:szCs w:val="24"/>
        </w:rPr>
        <w:t>Determination of Excluded Costs</w:t>
      </w:r>
    </w:p>
    <w:p w:rsidR="00196FC8" w:rsidRPr="00F64C61" w:rsidRDefault="00196FC8" w:rsidP="00E46535">
      <w:pPr>
        <w:pStyle w:val="NoSpacing"/>
        <w:spacing w:before="120"/>
        <w:jc w:val="center"/>
        <w:rPr>
          <w:b/>
          <w:sz w:val="24"/>
          <w:szCs w:val="24"/>
        </w:rPr>
      </w:pPr>
      <w:r w:rsidRPr="00F64C61">
        <w:rPr>
          <w:b/>
          <w:sz w:val="24"/>
          <w:szCs w:val="24"/>
        </w:rPr>
        <w:t>Division 1 – General Rules</w:t>
      </w:r>
    </w:p>
    <w:p w:rsidR="00196FC8" w:rsidRPr="00F64C61" w:rsidRDefault="00196FC8" w:rsidP="00196FC8">
      <w:pPr>
        <w:pStyle w:val="NoSpacing"/>
        <w:jc w:val="center"/>
        <w:rPr>
          <w:sz w:val="24"/>
          <w:szCs w:val="24"/>
        </w:rPr>
      </w:pPr>
    </w:p>
    <w:p w:rsidR="00196FC8" w:rsidRPr="00F64C61" w:rsidRDefault="00196FC8" w:rsidP="001F30F1">
      <w:pPr>
        <w:spacing w:after="0" w:line="240" w:lineRule="auto"/>
        <w:ind w:left="720" w:firstLine="720"/>
        <w:rPr>
          <w:b/>
        </w:rPr>
      </w:pPr>
      <w:r w:rsidRPr="00F64C61">
        <w:rPr>
          <w:b/>
        </w:rPr>
        <w:t xml:space="preserve">Responsibility for </w:t>
      </w:r>
      <w:r w:rsidR="001F30F1" w:rsidRPr="00F64C61">
        <w:rPr>
          <w:b/>
        </w:rPr>
        <w:t>d</w:t>
      </w:r>
      <w:r w:rsidRPr="00F64C61">
        <w:rPr>
          <w:b/>
        </w:rPr>
        <w:t xml:space="preserve">etermination of </w:t>
      </w:r>
      <w:r w:rsidR="001F30F1" w:rsidRPr="00F64C61">
        <w:rPr>
          <w:b/>
        </w:rPr>
        <w:t>e</w:t>
      </w:r>
      <w:r w:rsidRPr="00F64C61">
        <w:rPr>
          <w:b/>
        </w:rPr>
        <w:t xml:space="preserve">xcluded </w:t>
      </w:r>
      <w:r w:rsidR="001F30F1" w:rsidRPr="00F64C61">
        <w:rPr>
          <w:b/>
        </w:rPr>
        <w:t>c</w:t>
      </w:r>
      <w:r w:rsidRPr="00F64C61">
        <w:rPr>
          <w:b/>
        </w:rPr>
        <w:t>osts</w:t>
      </w:r>
    </w:p>
    <w:p w:rsidR="00196FC8" w:rsidRPr="00F64C61" w:rsidRDefault="00196FC8" w:rsidP="00196FC8">
      <w:pPr>
        <w:pStyle w:val="ListParagraph"/>
        <w:spacing w:after="100"/>
      </w:pPr>
      <w:r w:rsidRPr="00F64C61">
        <w:rPr>
          <w:b/>
        </w:rPr>
        <w:tab/>
      </w:r>
      <w:proofErr w:type="gramStart"/>
      <w:r w:rsidRPr="00F64C61">
        <w:rPr>
          <w:b/>
        </w:rPr>
        <w:t>1</w:t>
      </w:r>
      <w:r w:rsidR="006F1D45" w:rsidRPr="00F64C61">
        <w:rPr>
          <w:b/>
        </w:rPr>
        <w:t>9</w:t>
      </w:r>
      <w:r w:rsidRPr="00F64C61">
        <w:rPr>
          <w:b/>
        </w:rPr>
        <w:t xml:space="preserve">  </w:t>
      </w:r>
      <w:r w:rsidRPr="00F64C61">
        <w:t>The</w:t>
      </w:r>
      <w:proofErr w:type="gramEnd"/>
      <w:r w:rsidRPr="00F64C61">
        <w:t xml:space="preserve"> assessor determines excluded costs in accordance with this Guideline.</w:t>
      </w:r>
    </w:p>
    <w:tbl>
      <w:tblPr>
        <w:tblStyle w:val="TableGrid"/>
        <w:tblW w:w="0" w:type="auto"/>
        <w:tblInd w:w="1458" w:type="dxa"/>
        <w:tblLook w:val="04A0" w:firstRow="1" w:lastRow="0" w:firstColumn="1" w:lastColumn="0" w:noHBand="0" w:noVBand="1"/>
      </w:tblPr>
      <w:tblGrid>
        <w:gridCol w:w="8118"/>
      </w:tblGrid>
      <w:tr w:rsidR="00196FC8" w:rsidRPr="00F64C61" w:rsidTr="007127B3">
        <w:tc>
          <w:tcPr>
            <w:tcW w:w="8118" w:type="dxa"/>
          </w:tcPr>
          <w:p w:rsidR="00196FC8" w:rsidRPr="00F64C61" w:rsidRDefault="00196FC8" w:rsidP="007127B3">
            <w:pPr>
              <w:spacing w:before="120" w:after="120"/>
            </w:pPr>
            <w:r w:rsidRPr="00F64C61">
              <w:t xml:space="preserve">The assessed person or the company representative may communicate disagreement with the assessor’s determined excluded cost and cite the appropriate section of this Guideline, providing a full written explanation of the disagreement and including supporting documents.  </w:t>
            </w:r>
          </w:p>
          <w:p w:rsidR="00196FC8" w:rsidRPr="00F64C61" w:rsidRDefault="00196FC8" w:rsidP="007127B3">
            <w:pPr>
              <w:spacing w:before="120" w:after="120"/>
            </w:pPr>
            <w:r w:rsidRPr="00F64C61">
              <w:rPr>
                <w:lang w:val="en-US"/>
              </w:rPr>
              <w:t>Any proposal which does not meet the criteria in the definition for excluded cost must be rejected by the assessor.</w:t>
            </w:r>
          </w:p>
        </w:tc>
      </w:tr>
    </w:tbl>
    <w:p w:rsidR="00196FC8" w:rsidRPr="00F64C61" w:rsidRDefault="00196FC8" w:rsidP="00196FC8">
      <w:pPr>
        <w:rPr>
          <w:b/>
        </w:rPr>
      </w:pPr>
      <w:r w:rsidRPr="00F64C61">
        <w:rPr>
          <w:b/>
        </w:rPr>
        <w:tab/>
      </w:r>
    </w:p>
    <w:p w:rsidR="00196FC8" w:rsidRPr="00F64C61" w:rsidRDefault="00196FC8" w:rsidP="001F30F1">
      <w:pPr>
        <w:spacing w:after="0" w:line="240" w:lineRule="auto"/>
        <w:ind w:left="720" w:firstLine="720"/>
        <w:rPr>
          <w:b/>
        </w:rPr>
      </w:pPr>
      <w:r w:rsidRPr="00F64C61">
        <w:rPr>
          <w:b/>
        </w:rPr>
        <w:t>General rule</w:t>
      </w:r>
    </w:p>
    <w:p w:rsidR="00196FC8" w:rsidRPr="00F64C61" w:rsidRDefault="00196FC8" w:rsidP="00196FC8">
      <w:pPr>
        <w:ind w:firstLine="720"/>
      </w:pPr>
      <w:r w:rsidRPr="00F64C61">
        <w:rPr>
          <w:b/>
        </w:rPr>
        <w:tab/>
      </w:r>
      <w:r w:rsidR="002D2D48" w:rsidRPr="00F64C61">
        <w:rPr>
          <w:b/>
        </w:rPr>
        <w:t>20</w:t>
      </w:r>
      <w:r w:rsidRPr="00F64C61">
        <w:t xml:space="preserve"> Costs may only be subtracted from total project costs as excluded costs where</w:t>
      </w:r>
    </w:p>
    <w:p w:rsidR="00196FC8" w:rsidRPr="007127B3" w:rsidRDefault="00196FC8" w:rsidP="00196FC8">
      <w:pPr>
        <w:pStyle w:val="ListParagraph"/>
        <w:numPr>
          <w:ilvl w:val="0"/>
          <w:numId w:val="20"/>
        </w:numPr>
        <w:rPr>
          <w:b/>
        </w:rPr>
      </w:pPr>
      <w:r w:rsidRPr="00F64C61">
        <w:t xml:space="preserve">the costs expressly qualify as excluded costs under section </w:t>
      </w:r>
      <w:r w:rsidR="001C1158" w:rsidRPr="007127B3">
        <w:t>23</w:t>
      </w:r>
      <w:r w:rsidRPr="007127B3">
        <w:t>; and</w:t>
      </w:r>
    </w:p>
    <w:p w:rsidR="00196FC8" w:rsidRPr="007127B3" w:rsidRDefault="00196FC8" w:rsidP="00196FC8">
      <w:pPr>
        <w:pStyle w:val="ListParagraph"/>
        <w:numPr>
          <w:ilvl w:val="0"/>
          <w:numId w:val="20"/>
        </w:numPr>
        <w:rPr>
          <w:b/>
        </w:rPr>
      </w:pPr>
      <w:proofErr w:type="gramStart"/>
      <w:r w:rsidRPr="007127B3">
        <w:t>the</w:t>
      </w:r>
      <w:proofErr w:type="gramEnd"/>
      <w:r w:rsidRPr="007127B3">
        <w:t xml:space="preserve"> costs are not costs that must not be excluded under section </w:t>
      </w:r>
      <w:r w:rsidR="001C1158" w:rsidRPr="007127B3">
        <w:t>23</w:t>
      </w:r>
      <w:r w:rsidRPr="007127B3">
        <w:t>.</w:t>
      </w:r>
    </w:p>
    <w:tbl>
      <w:tblPr>
        <w:tblStyle w:val="TableGrid"/>
        <w:tblW w:w="0" w:type="auto"/>
        <w:tblInd w:w="1458" w:type="dxa"/>
        <w:tblLook w:val="04A0" w:firstRow="1" w:lastRow="0" w:firstColumn="1" w:lastColumn="0" w:noHBand="0" w:noVBand="1"/>
      </w:tblPr>
      <w:tblGrid>
        <w:gridCol w:w="8118"/>
      </w:tblGrid>
      <w:tr w:rsidR="00196FC8" w:rsidRPr="00F64C61" w:rsidTr="007127B3">
        <w:tc>
          <w:tcPr>
            <w:tcW w:w="8118" w:type="dxa"/>
          </w:tcPr>
          <w:p w:rsidR="00196FC8" w:rsidRPr="00F64C61" w:rsidRDefault="00AD7319" w:rsidP="00AD7319">
            <w:pPr>
              <w:spacing w:before="120" w:after="120"/>
            </w:pPr>
            <w:r w:rsidRPr="00F64C61">
              <w:t>Al</w:t>
            </w:r>
            <w:r w:rsidR="00196FC8" w:rsidRPr="00F64C61">
              <w:t xml:space="preserve">l costs are </w:t>
            </w:r>
            <w:r w:rsidR="00F44166">
              <w:t>included cost</w:t>
            </w:r>
            <w:r w:rsidR="00196FC8" w:rsidRPr="00F64C61">
              <w:t xml:space="preserve">, unless the cost qualifies as an excluded cost. Therefore, the list of potential </w:t>
            </w:r>
            <w:r w:rsidR="00F44166">
              <w:t>included cost</w:t>
            </w:r>
            <w:r w:rsidR="00196FC8" w:rsidRPr="00F64C61">
              <w:t xml:space="preserve"> is non-exhaustive, while the list </w:t>
            </w:r>
            <w:r w:rsidR="001F5DE0" w:rsidRPr="00F64C61">
              <w:t xml:space="preserve">of </w:t>
            </w:r>
            <w:r w:rsidR="00196FC8" w:rsidRPr="00F64C61">
              <w:t xml:space="preserve">excluded costs is a complete list. </w:t>
            </w:r>
          </w:p>
        </w:tc>
      </w:tr>
    </w:tbl>
    <w:p w:rsidR="00196FC8" w:rsidRPr="00F64C61" w:rsidRDefault="00196FC8" w:rsidP="00196FC8">
      <w:pPr>
        <w:ind w:firstLine="720"/>
        <w:jc w:val="center"/>
        <w:rPr>
          <w:b/>
        </w:rPr>
      </w:pPr>
      <w:r w:rsidRPr="00F64C61">
        <w:rPr>
          <w:b/>
        </w:rPr>
        <w:t>Division 2 – Excluded Costs</w:t>
      </w:r>
    </w:p>
    <w:p w:rsidR="00196FC8" w:rsidRPr="00F64C61" w:rsidRDefault="00196FC8" w:rsidP="001F30F1">
      <w:pPr>
        <w:spacing w:after="0" w:line="240" w:lineRule="auto"/>
        <w:ind w:left="720" w:firstLine="720"/>
        <w:rPr>
          <w:b/>
        </w:rPr>
      </w:pPr>
      <w:r w:rsidRPr="00F64C61">
        <w:rPr>
          <w:b/>
        </w:rPr>
        <w:t>Definitions</w:t>
      </w:r>
    </w:p>
    <w:p w:rsidR="00196FC8" w:rsidRPr="00F64C61" w:rsidRDefault="00DB2361" w:rsidP="00196FC8">
      <w:pPr>
        <w:ind w:left="1440"/>
      </w:pPr>
      <w:r w:rsidRPr="00F64C61">
        <w:rPr>
          <w:b/>
        </w:rPr>
        <w:t>21</w:t>
      </w:r>
      <w:r w:rsidR="007127B3">
        <w:rPr>
          <w:b/>
        </w:rPr>
        <w:t xml:space="preserve"> I</w:t>
      </w:r>
      <w:r w:rsidR="00196FC8" w:rsidRPr="00F64C61">
        <w:t xml:space="preserve">n this Division, </w:t>
      </w:r>
    </w:p>
    <w:p w:rsidR="00196FC8" w:rsidRPr="00F64C61" w:rsidRDefault="00196FC8" w:rsidP="00196FC8">
      <w:pPr>
        <w:ind w:left="2160"/>
        <w:rPr>
          <w:b/>
        </w:rPr>
      </w:pPr>
      <w:r w:rsidRPr="00F64C61">
        <w:t>“</w:t>
      </w:r>
      <w:proofErr w:type="gramStart"/>
      <w:r w:rsidRPr="00F64C61">
        <w:t>standby</w:t>
      </w:r>
      <w:proofErr w:type="gramEnd"/>
      <w:r w:rsidRPr="00F64C61">
        <w:t xml:space="preserve"> equipment” means costs for equipment intended to maintain continuous operation of a particular function in the event of peak loading or failure at the site when it is not feasible to shutdown operation to replace a faulty piece of equipment;</w:t>
      </w:r>
    </w:p>
    <w:p w:rsidR="00196FC8" w:rsidRPr="00F64C61" w:rsidRDefault="00196FC8" w:rsidP="00890E70">
      <w:pPr>
        <w:spacing w:after="0" w:line="240" w:lineRule="auto"/>
        <w:ind w:left="720" w:firstLine="720"/>
        <w:rPr>
          <w:b/>
        </w:rPr>
      </w:pPr>
      <w:r w:rsidRPr="00F64C61">
        <w:rPr>
          <w:b/>
        </w:rPr>
        <w:t>List of excluded costs</w:t>
      </w:r>
    </w:p>
    <w:p w:rsidR="00196FC8" w:rsidRPr="00F64C61" w:rsidRDefault="00DF143C" w:rsidP="00196FC8">
      <w:pPr>
        <w:ind w:left="1440"/>
      </w:pPr>
      <w:r w:rsidRPr="00F64C61">
        <w:rPr>
          <w:b/>
        </w:rPr>
        <w:t>22</w:t>
      </w:r>
      <w:r w:rsidR="00196FC8" w:rsidRPr="00F64C61">
        <w:t>(1)</w:t>
      </w:r>
      <w:r w:rsidR="00196FC8" w:rsidRPr="00F64C61">
        <w:rPr>
          <w:b/>
        </w:rPr>
        <w:t xml:space="preserve"> </w:t>
      </w:r>
      <w:r w:rsidR="00196FC8" w:rsidRPr="00F64C61">
        <w:t xml:space="preserve">Costs must not be considered as excluded costs where </w:t>
      </w:r>
    </w:p>
    <w:p w:rsidR="00196FC8" w:rsidRPr="00F64C61" w:rsidRDefault="00196FC8" w:rsidP="00196FC8">
      <w:pPr>
        <w:pStyle w:val="ListParagraph"/>
        <w:numPr>
          <w:ilvl w:val="0"/>
          <w:numId w:val="21"/>
        </w:numPr>
      </w:pPr>
      <w:r w:rsidRPr="00F64C61">
        <w:t xml:space="preserve">there is factual ambiguity as to whether or not costs qualify as excluded costs under subsection (2), or </w:t>
      </w:r>
    </w:p>
    <w:p w:rsidR="00196FC8" w:rsidRPr="00F64C61" w:rsidRDefault="00196FC8" w:rsidP="00196FC8">
      <w:pPr>
        <w:pStyle w:val="ListParagraph"/>
        <w:numPr>
          <w:ilvl w:val="0"/>
          <w:numId w:val="21"/>
        </w:numPr>
      </w:pPr>
      <w:proofErr w:type="gramStart"/>
      <w:r w:rsidRPr="00F64C61">
        <w:t>there</w:t>
      </w:r>
      <w:proofErr w:type="gramEnd"/>
      <w:r w:rsidRPr="00F64C61">
        <w:t xml:space="preserve"> is inadequate detail provided in a report to the assessor to determine whether a cost is entirely an excluded cost.</w:t>
      </w:r>
    </w:p>
    <w:p w:rsidR="00196FC8" w:rsidRPr="00F64C61" w:rsidRDefault="00196FC8" w:rsidP="00196FC8">
      <w:pPr>
        <w:ind w:left="1440"/>
      </w:pPr>
      <w:r w:rsidRPr="00F64C61">
        <w:t>(2)   Subject to se</w:t>
      </w:r>
      <w:r w:rsidRPr="007127B3">
        <w:t xml:space="preserve">ction </w:t>
      </w:r>
      <w:r w:rsidR="00DF143C" w:rsidRPr="007127B3">
        <w:t>23</w:t>
      </w:r>
      <w:r w:rsidRPr="007127B3">
        <w:t>, the foll</w:t>
      </w:r>
      <w:r w:rsidRPr="00F64C61">
        <w:t>owing costs must be treated as excluded costs:</w:t>
      </w:r>
    </w:p>
    <w:p w:rsidR="00196FC8" w:rsidRPr="00F64C61" w:rsidRDefault="00196FC8" w:rsidP="00196FC8">
      <w:pPr>
        <w:pStyle w:val="ListParagraph"/>
        <w:ind w:left="2160"/>
        <w:rPr>
          <w:b/>
          <w:bCs/>
        </w:rPr>
      </w:pPr>
      <w:r w:rsidRPr="00F64C61">
        <w:rPr>
          <w:b/>
          <w:bCs/>
        </w:rPr>
        <w:t>Remediation costs</w:t>
      </w:r>
    </w:p>
    <w:p w:rsidR="00196FC8" w:rsidRPr="00F64C61" w:rsidRDefault="00196FC8" w:rsidP="00196FC8">
      <w:pPr>
        <w:pStyle w:val="ListParagraph"/>
        <w:numPr>
          <w:ilvl w:val="0"/>
          <w:numId w:val="32"/>
        </w:numPr>
      </w:pPr>
      <w:r w:rsidRPr="00F64C61">
        <w:t xml:space="preserve">where remediation work is required, costs incurred to bring the land on which the </w:t>
      </w:r>
      <w:r w:rsidR="00226A5E" w:rsidRPr="00F64C61">
        <w:t xml:space="preserve">assessed </w:t>
      </w:r>
      <w:r w:rsidRPr="00F64C61">
        <w:t xml:space="preserve">property is located up to the quality of raw land in the vicinity prior to construction so the project may begin, except to the extent </w:t>
      </w:r>
      <w:r w:rsidRPr="007127B3">
        <w:t>that section 2</w:t>
      </w:r>
      <w:r w:rsidR="001F5A1E" w:rsidRPr="007127B3">
        <w:t>3</w:t>
      </w:r>
      <w:r w:rsidRPr="007127B3">
        <w:t>(1)(</w:t>
      </w:r>
      <w:r w:rsidR="007127B3" w:rsidRPr="007127B3">
        <w:t>g</w:t>
      </w:r>
      <w:r w:rsidRPr="007127B3">
        <w:t>) (</w:t>
      </w:r>
      <w:r w:rsidR="007127B3" w:rsidRPr="007127B3">
        <w:t>site</w:t>
      </w:r>
      <w:r w:rsidR="007127B3">
        <w:t xml:space="preserve"> finishing</w:t>
      </w:r>
      <w:r w:rsidRPr="00F64C61">
        <w:t>) applies;</w:t>
      </w:r>
    </w:p>
    <w:p w:rsidR="00196FC8" w:rsidRPr="00F64C61" w:rsidRDefault="00196FC8" w:rsidP="00196FC8">
      <w:pPr>
        <w:pStyle w:val="ListParagraph"/>
        <w:ind w:left="2160"/>
        <w:rPr>
          <w:b/>
          <w:bCs/>
        </w:rPr>
      </w:pPr>
      <w:r w:rsidRPr="00F64C61">
        <w:rPr>
          <w:b/>
          <w:bCs/>
        </w:rPr>
        <w:t>Cancellation charges</w:t>
      </w:r>
    </w:p>
    <w:p w:rsidR="00196FC8" w:rsidRPr="00F64C61" w:rsidRDefault="00196FC8" w:rsidP="00196FC8">
      <w:pPr>
        <w:pStyle w:val="ListParagraph"/>
        <w:numPr>
          <w:ilvl w:val="0"/>
          <w:numId w:val="32"/>
        </w:numPr>
      </w:pPr>
      <w:r w:rsidRPr="00F64C61">
        <w:t>where a contract is cancelled, costs in the form of payments made to a contractor for damages, including liquidated damages;</w:t>
      </w:r>
    </w:p>
    <w:p w:rsidR="00196FC8" w:rsidRPr="00F64C61" w:rsidRDefault="00196FC8" w:rsidP="00196FC8">
      <w:pPr>
        <w:pStyle w:val="ListParagraph"/>
        <w:ind w:left="2160"/>
        <w:rPr>
          <w:b/>
          <w:bCs/>
        </w:rPr>
      </w:pPr>
      <w:r w:rsidRPr="00F64C61">
        <w:rPr>
          <w:b/>
          <w:bCs/>
        </w:rPr>
        <w:t xml:space="preserve">Regulatory Fees </w:t>
      </w:r>
    </w:p>
    <w:p w:rsidR="00196FC8" w:rsidRPr="00F64C61" w:rsidRDefault="00196FC8" w:rsidP="00196FC8">
      <w:pPr>
        <w:pStyle w:val="ListParagraph"/>
        <w:numPr>
          <w:ilvl w:val="0"/>
          <w:numId w:val="32"/>
        </w:numPr>
      </w:pPr>
      <w:r w:rsidRPr="00F64C61">
        <w:t xml:space="preserve">costs in the form of legally imposed regulatory license and approval fees and charges associated with the project; </w:t>
      </w:r>
    </w:p>
    <w:p w:rsidR="00196FC8" w:rsidRPr="00F64C61" w:rsidRDefault="00196FC8" w:rsidP="00196FC8">
      <w:pPr>
        <w:pStyle w:val="ListParagraph"/>
        <w:ind w:left="2160"/>
        <w:rPr>
          <w:b/>
          <w:bCs/>
        </w:rPr>
      </w:pPr>
      <w:r w:rsidRPr="00F64C61">
        <w:rPr>
          <w:b/>
          <w:bCs/>
        </w:rPr>
        <w:t>GST, HST, and PST</w:t>
      </w:r>
    </w:p>
    <w:p w:rsidR="00196FC8" w:rsidRPr="00F64C61" w:rsidRDefault="00196FC8" w:rsidP="00196FC8">
      <w:pPr>
        <w:pStyle w:val="ListParagraph"/>
        <w:numPr>
          <w:ilvl w:val="0"/>
          <w:numId w:val="32"/>
        </w:numPr>
      </w:pPr>
      <w:r w:rsidRPr="00F64C61">
        <w:t>costs in the form of excise taxes, including goods and services taxes, harmonized taxes, and provincial sales tax paid on materials and labour;</w:t>
      </w:r>
    </w:p>
    <w:p w:rsidR="00196FC8" w:rsidRPr="00F64C61" w:rsidRDefault="00196FC8" w:rsidP="00196FC8">
      <w:pPr>
        <w:pStyle w:val="ListParagraph"/>
        <w:ind w:left="2160"/>
        <w:rPr>
          <w:b/>
          <w:bCs/>
        </w:rPr>
      </w:pPr>
      <w:r w:rsidRPr="00F64C61">
        <w:rPr>
          <w:b/>
          <w:bCs/>
        </w:rPr>
        <w:t>Import duties</w:t>
      </w:r>
    </w:p>
    <w:p w:rsidR="00196FC8" w:rsidRPr="00F64C61" w:rsidRDefault="00196FC8" w:rsidP="00196FC8">
      <w:pPr>
        <w:pStyle w:val="ListParagraph"/>
        <w:numPr>
          <w:ilvl w:val="0"/>
          <w:numId w:val="32"/>
        </w:numPr>
        <w:spacing w:after="0"/>
      </w:pPr>
      <w:r w:rsidRPr="00F64C61">
        <w:t xml:space="preserve">to the extent that the costs are not built into the purchase price of materials, costs in the form of </w:t>
      </w:r>
    </w:p>
    <w:p w:rsidR="00196FC8" w:rsidRPr="00F64C61" w:rsidRDefault="00196FC8" w:rsidP="00196FC8">
      <w:pPr>
        <w:pStyle w:val="ListParagraph"/>
        <w:numPr>
          <w:ilvl w:val="1"/>
          <w:numId w:val="32"/>
        </w:numPr>
        <w:spacing w:after="0"/>
      </w:pPr>
      <w:r w:rsidRPr="00F64C61">
        <w:t xml:space="preserve">federally imposed import charges, including duties and tariffs, but not charges under the </w:t>
      </w:r>
      <w:r w:rsidRPr="00F64C61">
        <w:rPr>
          <w:i/>
        </w:rPr>
        <w:t xml:space="preserve">Special Import Measures Act </w:t>
      </w:r>
      <w:r w:rsidRPr="00F64C61">
        <w:t xml:space="preserve">(Canada), and </w:t>
      </w:r>
    </w:p>
    <w:p w:rsidR="00196FC8" w:rsidRPr="00F64C61" w:rsidRDefault="00196FC8" w:rsidP="00196FC8">
      <w:pPr>
        <w:pStyle w:val="ListParagraph"/>
        <w:numPr>
          <w:ilvl w:val="1"/>
          <w:numId w:val="32"/>
        </w:numPr>
        <w:spacing w:after="0"/>
      </w:pPr>
      <w:r w:rsidRPr="00F64C61">
        <w:t xml:space="preserve">brokerage fees levied on imported materials, </w:t>
      </w:r>
    </w:p>
    <w:p w:rsidR="003D4E8C" w:rsidRDefault="00196FC8" w:rsidP="003D4E8C">
      <w:pPr>
        <w:spacing w:after="0"/>
        <w:ind w:left="2160"/>
      </w:pPr>
      <w:proofErr w:type="gramStart"/>
      <w:r w:rsidRPr="00F64C61">
        <w:t>to</w:t>
      </w:r>
      <w:proofErr w:type="gramEnd"/>
      <w:r w:rsidRPr="00F64C61">
        <w:t xml:space="preserve"> the extent that these duties and fees increase the cost of imported materials over comparable materials made in Canada;</w:t>
      </w:r>
    </w:p>
    <w:p w:rsidR="00196FC8" w:rsidRPr="00F64C61" w:rsidRDefault="00196FC8" w:rsidP="003D4E8C">
      <w:pPr>
        <w:spacing w:after="0"/>
        <w:ind w:left="2160"/>
        <w:rPr>
          <w:b/>
          <w:bCs/>
        </w:rPr>
      </w:pPr>
      <w:r w:rsidRPr="00F64C61">
        <w:rPr>
          <w:b/>
          <w:bCs/>
        </w:rPr>
        <w:t>Property and business tax</w:t>
      </w:r>
    </w:p>
    <w:p w:rsidR="00196FC8" w:rsidRPr="00F64C61" w:rsidRDefault="00196FC8" w:rsidP="003D4E8C">
      <w:pPr>
        <w:pStyle w:val="ListParagraph"/>
        <w:numPr>
          <w:ilvl w:val="0"/>
          <w:numId w:val="32"/>
        </w:numPr>
        <w:spacing w:after="0"/>
      </w:pPr>
      <w:r w:rsidRPr="00F64C61">
        <w:t xml:space="preserve">costs in the form of property and business taxes; </w:t>
      </w:r>
    </w:p>
    <w:p w:rsidR="00196FC8" w:rsidRPr="00F64C61" w:rsidRDefault="00196FC8" w:rsidP="00AD7319">
      <w:pPr>
        <w:spacing w:after="0"/>
        <w:ind w:left="2160"/>
      </w:pPr>
      <w:r w:rsidRPr="00F64C61">
        <w:rPr>
          <w:b/>
          <w:bCs/>
        </w:rPr>
        <w:t>Intellectual Property Fees</w:t>
      </w:r>
    </w:p>
    <w:p w:rsidR="00196FC8" w:rsidRPr="00F64C61" w:rsidRDefault="00196FC8" w:rsidP="003D4E8C">
      <w:pPr>
        <w:pStyle w:val="ListParagraph"/>
        <w:numPr>
          <w:ilvl w:val="0"/>
          <w:numId w:val="32"/>
        </w:numPr>
        <w:spacing w:after="0"/>
      </w:pPr>
      <w:r w:rsidRPr="00F64C61">
        <w:t>costs in the form of fees for the use of intellectual property, including patent fees and royalties, but not software licenses;</w:t>
      </w:r>
    </w:p>
    <w:p w:rsidR="00196FC8" w:rsidRPr="00F64C61" w:rsidRDefault="00196FC8" w:rsidP="00AD7319">
      <w:pPr>
        <w:spacing w:after="0"/>
        <w:ind w:left="2160"/>
        <w:rPr>
          <w:b/>
          <w:bCs/>
        </w:rPr>
      </w:pPr>
      <w:r w:rsidRPr="00F64C61">
        <w:rPr>
          <w:b/>
          <w:bCs/>
        </w:rPr>
        <w:t>Interest costs</w:t>
      </w:r>
    </w:p>
    <w:p w:rsidR="00196FC8" w:rsidRPr="00F64C61" w:rsidRDefault="00196FC8" w:rsidP="003D4E8C">
      <w:pPr>
        <w:pStyle w:val="ListParagraph"/>
        <w:numPr>
          <w:ilvl w:val="0"/>
          <w:numId w:val="32"/>
        </w:numPr>
        <w:spacing w:after="0"/>
      </w:pPr>
      <w:r w:rsidRPr="00F64C61">
        <w:t>costs in the form of interest to finance the project or part of it, and interest ow</w:t>
      </w:r>
      <w:r w:rsidR="00E70F71">
        <w:t>ed on payments to third parties;</w:t>
      </w:r>
    </w:p>
    <w:p w:rsidR="00196FC8" w:rsidRPr="00F64C61" w:rsidRDefault="00196FC8" w:rsidP="00196FC8">
      <w:pPr>
        <w:pStyle w:val="ListParagraph"/>
        <w:ind w:left="2160"/>
        <w:rPr>
          <w:b/>
          <w:bCs/>
        </w:rPr>
      </w:pPr>
      <w:r w:rsidRPr="00F64C61">
        <w:rPr>
          <w:b/>
          <w:bCs/>
        </w:rPr>
        <w:t>Living allowances</w:t>
      </w:r>
    </w:p>
    <w:p w:rsidR="00196FC8" w:rsidRPr="00F64C61" w:rsidRDefault="00196FC8" w:rsidP="00196FC8">
      <w:pPr>
        <w:pStyle w:val="ListParagraph"/>
        <w:numPr>
          <w:ilvl w:val="0"/>
          <w:numId w:val="32"/>
        </w:numPr>
      </w:pPr>
      <w:r w:rsidRPr="00F64C61">
        <w:t>costs associated with living allowances, to the extent they are provided, including</w:t>
      </w:r>
    </w:p>
    <w:p w:rsidR="00196FC8" w:rsidRPr="00F64C61" w:rsidRDefault="00196FC8" w:rsidP="00196FC8">
      <w:pPr>
        <w:pStyle w:val="ListParagraph"/>
        <w:numPr>
          <w:ilvl w:val="1"/>
          <w:numId w:val="32"/>
        </w:numPr>
      </w:pPr>
      <w:r w:rsidRPr="00F64C61">
        <w:t xml:space="preserve">meal allowances,  </w:t>
      </w:r>
    </w:p>
    <w:p w:rsidR="00196FC8" w:rsidRPr="00F64C61" w:rsidRDefault="00196FC8" w:rsidP="00196FC8">
      <w:pPr>
        <w:pStyle w:val="ListParagraph"/>
        <w:numPr>
          <w:ilvl w:val="1"/>
          <w:numId w:val="32"/>
        </w:numPr>
      </w:pPr>
      <w:r w:rsidRPr="00F64C61">
        <w:t xml:space="preserve">work camps, and </w:t>
      </w:r>
    </w:p>
    <w:p w:rsidR="00196FC8" w:rsidRPr="00F64C61" w:rsidRDefault="00196FC8" w:rsidP="00196FC8">
      <w:pPr>
        <w:pStyle w:val="ListParagraph"/>
        <w:numPr>
          <w:ilvl w:val="1"/>
          <w:numId w:val="32"/>
        </w:numPr>
      </w:pPr>
      <w:r w:rsidRPr="00F64C61">
        <w:t>lodging and meal reimbursements;</w:t>
      </w:r>
    </w:p>
    <w:p w:rsidR="00196FC8" w:rsidRPr="00F64C61" w:rsidRDefault="00196FC8" w:rsidP="00196FC8">
      <w:pPr>
        <w:pStyle w:val="ListParagraph"/>
        <w:ind w:left="2160"/>
        <w:rPr>
          <w:b/>
          <w:bCs/>
        </w:rPr>
      </w:pPr>
      <w:r w:rsidRPr="00F64C61">
        <w:rPr>
          <w:b/>
          <w:bCs/>
        </w:rPr>
        <w:t>Computer costs</w:t>
      </w:r>
    </w:p>
    <w:p w:rsidR="00196FC8" w:rsidRPr="00F64C61" w:rsidRDefault="00196FC8" w:rsidP="00196FC8">
      <w:pPr>
        <w:pStyle w:val="ListParagraph"/>
        <w:numPr>
          <w:ilvl w:val="0"/>
          <w:numId w:val="32"/>
        </w:numPr>
      </w:pPr>
      <w:r w:rsidRPr="00F64C61">
        <w:t>except to the extent described in sectio</w:t>
      </w:r>
      <w:r w:rsidRPr="007127B3">
        <w:t>n 2</w:t>
      </w:r>
      <w:r w:rsidR="0064251D" w:rsidRPr="007127B3">
        <w:t>3</w:t>
      </w:r>
      <w:r w:rsidRPr="007127B3">
        <w:t>(1)(b) (comp</w:t>
      </w:r>
      <w:r w:rsidRPr="00F64C61">
        <w:t xml:space="preserve">uter costs), costs associated with computer hardware and software used to support corporate business activities on the </w:t>
      </w:r>
      <w:r w:rsidR="00676862" w:rsidRPr="00F64C61">
        <w:t xml:space="preserve">assessed </w:t>
      </w:r>
      <w:r w:rsidRPr="00F64C61">
        <w:t>property but not related to the project, such as accounting, management, payroll</w:t>
      </w:r>
      <w:r w:rsidR="00E70F71">
        <w:t>,</w:t>
      </w:r>
      <w:r w:rsidRPr="00F64C61">
        <w:t xml:space="preserve"> and human resources;</w:t>
      </w:r>
    </w:p>
    <w:p w:rsidR="00196FC8" w:rsidRPr="00F64C61" w:rsidRDefault="00196FC8" w:rsidP="00196FC8">
      <w:pPr>
        <w:pStyle w:val="ListParagraph"/>
        <w:ind w:left="2160"/>
        <w:rPr>
          <w:b/>
          <w:bCs/>
        </w:rPr>
      </w:pPr>
      <w:r w:rsidRPr="00F64C61">
        <w:rPr>
          <w:b/>
          <w:bCs/>
        </w:rPr>
        <w:t>Spare equipment</w:t>
      </w:r>
    </w:p>
    <w:p w:rsidR="00196FC8" w:rsidRPr="00F64C61" w:rsidRDefault="00196FC8" w:rsidP="00196FC8">
      <w:pPr>
        <w:pStyle w:val="ListParagraph"/>
        <w:numPr>
          <w:ilvl w:val="0"/>
          <w:numId w:val="32"/>
        </w:numPr>
      </w:pPr>
      <w:r w:rsidRPr="00F64C61">
        <w:t>costs associated with equipment and other machinery that is not in use but is stored on site and not designated as standby equipment;</w:t>
      </w:r>
    </w:p>
    <w:p w:rsidR="00196FC8" w:rsidRPr="00F64C61" w:rsidRDefault="00196FC8" w:rsidP="00196FC8">
      <w:pPr>
        <w:pStyle w:val="ListParagraph"/>
        <w:ind w:left="2160"/>
        <w:rPr>
          <w:b/>
          <w:bCs/>
        </w:rPr>
      </w:pPr>
      <w:r w:rsidRPr="00F64C61">
        <w:rPr>
          <w:b/>
          <w:bCs/>
        </w:rPr>
        <w:t>Work slowdown, work stoppage or strike</w:t>
      </w:r>
    </w:p>
    <w:p w:rsidR="00196FC8" w:rsidRPr="00F64C61" w:rsidRDefault="00196FC8" w:rsidP="00196FC8">
      <w:pPr>
        <w:pStyle w:val="ListParagraph"/>
        <w:numPr>
          <w:ilvl w:val="0"/>
          <w:numId w:val="32"/>
        </w:numPr>
      </w:pPr>
      <w:r w:rsidRPr="00F64C61">
        <w:t xml:space="preserve">non-labour costs associated with work stoppages resulting from a situation where, </w:t>
      </w:r>
    </w:p>
    <w:p w:rsidR="00196FC8" w:rsidRPr="00F64C61" w:rsidRDefault="00196FC8" w:rsidP="00196FC8">
      <w:pPr>
        <w:pStyle w:val="ListParagraph"/>
        <w:numPr>
          <w:ilvl w:val="1"/>
          <w:numId w:val="32"/>
        </w:numPr>
      </w:pPr>
      <w:r w:rsidRPr="00F64C61">
        <w:t>an unauthorized work stoppage occurs, or</w:t>
      </w:r>
    </w:p>
    <w:p w:rsidR="00196FC8" w:rsidRPr="00F64C61" w:rsidRDefault="00196FC8" w:rsidP="00196FC8">
      <w:pPr>
        <w:pStyle w:val="ListParagraph"/>
        <w:numPr>
          <w:ilvl w:val="1"/>
          <w:numId w:val="32"/>
        </w:numPr>
      </w:pPr>
      <w:r w:rsidRPr="00F64C61">
        <w:t xml:space="preserve">work stoppage that occurs as a consequence of an unforeseen catastrophic event; </w:t>
      </w:r>
    </w:p>
    <w:p w:rsidR="00196FC8" w:rsidRPr="00F64C61" w:rsidRDefault="00196FC8" w:rsidP="00196FC8">
      <w:pPr>
        <w:pStyle w:val="ListParagraph"/>
        <w:ind w:left="2160"/>
        <w:rPr>
          <w:b/>
          <w:bCs/>
        </w:rPr>
      </w:pPr>
      <w:r w:rsidRPr="00F64C61">
        <w:rPr>
          <w:b/>
          <w:bCs/>
        </w:rPr>
        <w:t xml:space="preserve">Catastrophic events </w:t>
      </w:r>
    </w:p>
    <w:p w:rsidR="00196FC8" w:rsidRPr="00F64C61" w:rsidRDefault="00196FC8" w:rsidP="00196FC8">
      <w:pPr>
        <w:pStyle w:val="ListParagraph"/>
        <w:numPr>
          <w:ilvl w:val="0"/>
          <w:numId w:val="32"/>
        </w:numPr>
      </w:pPr>
      <w:r w:rsidRPr="00F64C61">
        <w:t xml:space="preserve">costs directly associated with unforeseen catastrophic events event such as a fire, explosion, flood or natural disaster, including </w:t>
      </w:r>
    </w:p>
    <w:p w:rsidR="00196FC8" w:rsidRPr="00F64C61" w:rsidRDefault="00196FC8" w:rsidP="00196FC8">
      <w:pPr>
        <w:pStyle w:val="ListParagraph"/>
        <w:numPr>
          <w:ilvl w:val="1"/>
          <w:numId w:val="32"/>
        </w:numPr>
      </w:pPr>
      <w:r w:rsidRPr="00F64C61">
        <w:t>mitigation of an unforeseen catastrophic events, and</w:t>
      </w:r>
    </w:p>
    <w:p w:rsidR="00196FC8" w:rsidRPr="00F64C61" w:rsidRDefault="00196FC8" w:rsidP="00196FC8">
      <w:pPr>
        <w:pStyle w:val="ListParagraph"/>
        <w:numPr>
          <w:ilvl w:val="1"/>
          <w:numId w:val="32"/>
        </w:numPr>
      </w:pPr>
      <w:r w:rsidRPr="00F64C61">
        <w:t>repair and reconstruction necessitated by the unforeseen catastrophic event;</w:t>
      </w:r>
    </w:p>
    <w:p w:rsidR="00196FC8" w:rsidRPr="00F64C61" w:rsidRDefault="00196FC8" w:rsidP="00196FC8">
      <w:pPr>
        <w:pStyle w:val="ListParagraph"/>
        <w:ind w:left="2160"/>
        <w:rPr>
          <w:b/>
          <w:bCs/>
        </w:rPr>
      </w:pPr>
      <w:r w:rsidRPr="00F64C61">
        <w:rPr>
          <w:b/>
          <w:bCs/>
        </w:rPr>
        <w:t>Interference costs</w:t>
      </w:r>
    </w:p>
    <w:p w:rsidR="00196FC8" w:rsidRDefault="00196FC8" w:rsidP="00196FC8">
      <w:pPr>
        <w:pStyle w:val="ListParagraph"/>
        <w:numPr>
          <w:ilvl w:val="0"/>
          <w:numId w:val="32"/>
        </w:numPr>
      </w:pPr>
      <w:r w:rsidRPr="00F64C61">
        <w:t>costs associated with ensuring the structural integrity of existing buildings, and the re-location of existing utilities and lines including the rerouting of piping, electrical lines</w:t>
      </w:r>
      <w:r w:rsidR="00E70F71">
        <w:t>,</w:t>
      </w:r>
      <w:r w:rsidRPr="00F64C61">
        <w:t xml:space="preserve"> or telecommunications lines;</w:t>
      </w:r>
    </w:p>
    <w:tbl>
      <w:tblPr>
        <w:tblStyle w:val="TableGrid"/>
        <w:tblW w:w="0" w:type="auto"/>
        <w:tblInd w:w="1458" w:type="dxa"/>
        <w:tblLook w:val="04A0" w:firstRow="1" w:lastRow="0" w:firstColumn="1" w:lastColumn="0" w:noHBand="0" w:noVBand="1"/>
      </w:tblPr>
      <w:tblGrid>
        <w:gridCol w:w="8118"/>
      </w:tblGrid>
      <w:tr w:rsidR="00A3257B" w:rsidTr="00A3257B">
        <w:tc>
          <w:tcPr>
            <w:tcW w:w="8118" w:type="dxa"/>
          </w:tcPr>
          <w:p w:rsidR="00A3257B" w:rsidRDefault="00A3257B" w:rsidP="00A3257B">
            <w:pPr>
              <w:spacing w:before="120" w:after="120"/>
            </w:pPr>
            <w:r w:rsidRPr="00F64C61">
              <w:t>Interference costs are typically incurred when working in close proximity to an existing facility or structure. Costs are associated with safety considerations, such as the cost of pilings, earthworks</w:t>
            </w:r>
            <w:r w:rsidR="00E70F71">
              <w:t>,</w:t>
            </w:r>
            <w:r w:rsidRPr="00F64C61">
              <w:t xml:space="preserve"> and scaffolding to protect nearby existing structures, lines</w:t>
            </w:r>
            <w:r w:rsidR="00E70F71">
              <w:t>,</w:t>
            </w:r>
            <w:r w:rsidRPr="00F64C61">
              <w:t xml:space="preserve"> and operations.</w:t>
            </w:r>
          </w:p>
        </w:tc>
      </w:tr>
    </w:tbl>
    <w:p w:rsidR="00196FC8" w:rsidRPr="00F64C61" w:rsidRDefault="00196FC8" w:rsidP="00A3257B">
      <w:pPr>
        <w:spacing w:before="120" w:after="0"/>
        <w:ind w:left="2160"/>
      </w:pPr>
      <w:r w:rsidRPr="00F64C61">
        <w:rPr>
          <w:b/>
          <w:bCs/>
        </w:rPr>
        <w:t>Debottlenecking</w:t>
      </w:r>
    </w:p>
    <w:p w:rsidR="00196FC8" w:rsidRPr="00F44166" w:rsidRDefault="00196FC8" w:rsidP="00196FC8">
      <w:pPr>
        <w:pStyle w:val="ListParagraph"/>
        <w:numPr>
          <w:ilvl w:val="0"/>
          <w:numId w:val="32"/>
        </w:numPr>
      </w:pPr>
      <w:r w:rsidRPr="00F64C61">
        <w:rPr>
          <w:spacing w:val="-1"/>
        </w:rPr>
        <w:t>durin</w:t>
      </w:r>
      <w:r w:rsidR="00E46535">
        <w:rPr>
          <w:spacing w:val="-1"/>
        </w:rPr>
        <w:t>g construction,</w:t>
      </w:r>
      <w:r w:rsidRPr="00F64C61">
        <w:rPr>
          <w:spacing w:val="-1"/>
        </w:rPr>
        <w:t xml:space="preserve"> costs </w:t>
      </w:r>
      <w:r w:rsidR="00E46535">
        <w:rPr>
          <w:spacing w:val="-1"/>
        </w:rPr>
        <w:t xml:space="preserve">arising </w:t>
      </w:r>
      <w:r w:rsidRPr="00F64C61">
        <w:rPr>
          <w:spacing w:val="-1"/>
        </w:rPr>
        <w:t xml:space="preserve">as a result of the need to modify or alter parts of the </w:t>
      </w:r>
      <w:r w:rsidR="00676862" w:rsidRPr="00F64C61">
        <w:rPr>
          <w:spacing w:val="-1"/>
        </w:rPr>
        <w:t xml:space="preserve">assessed </w:t>
      </w:r>
      <w:r w:rsidRPr="00F64C61">
        <w:rPr>
          <w:spacing w:val="-1"/>
        </w:rPr>
        <w:t xml:space="preserve">property which unexpectedly limited or prevented operation of the </w:t>
      </w:r>
      <w:r w:rsidR="00676862" w:rsidRPr="00F64C61">
        <w:rPr>
          <w:spacing w:val="-1"/>
        </w:rPr>
        <w:t xml:space="preserve">assessed </w:t>
      </w:r>
      <w:r w:rsidRPr="00F64C61">
        <w:rPr>
          <w:spacing w:val="-1"/>
        </w:rPr>
        <w:t xml:space="preserve">property, or prevented the </w:t>
      </w:r>
      <w:r w:rsidR="00676862" w:rsidRPr="00F64C61">
        <w:rPr>
          <w:spacing w:val="-1"/>
        </w:rPr>
        <w:t xml:space="preserve">assessed </w:t>
      </w:r>
      <w:r w:rsidRPr="00F64C61">
        <w:rPr>
          <w:spacing w:val="-1"/>
        </w:rPr>
        <w:t>property from reaching its designed capacity;</w:t>
      </w:r>
    </w:p>
    <w:p w:rsidR="00F44166" w:rsidRPr="00A3257B" w:rsidRDefault="00F44166" w:rsidP="00F44166">
      <w:pPr>
        <w:pStyle w:val="ListParagraph"/>
        <w:ind w:left="2520"/>
      </w:pPr>
    </w:p>
    <w:tbl>
      <w:tblPr>
        <w:tblStyle w:val="TableGrid"/>
        <w:tblW w:w="0" w:type="auto"/>
        <w:tblInd w:w="1458" w:type="dxa"/>
        <w:tblLook w:val="04A0" w:firstRow="1" w:lastRow="0" w:firstColumn="1" w:lastColumn="0" w:noHBand="0" w:noVBand="1"/>
      </w:tblPr>
      <w:tblGrid>
        <w:gridCol w:w="8118"/>
      </w:tblGrid>
      <w:tr w:rsidR="00F44166" w:rsidTr="00F44166">
        <w:tc>
          <w:tcPr>
            <w:tcW w:w="8118" w:type="dxa"/>
          </w:tcPr>
          <w:p w:rsidR="00F44166" w:rsidRDefault="00F44166" w:rsidP="00F44166">
            <w:pPr>
              <w:pStyle w:val="ListParagraph"/>
              <w:spacing w:before="120" w:after="120"/>
              <w:ind w:left="0"/>
              <w:rPr>
                <w:b/>
                <w:bCs/>
              </w:rPr>
            </w:pPr>
            <w:r>
              <w:t>D</w:t>
            </w:r>
            <w:r w:rsidRPr="00F64C61">
              <w:t xml:space="preserve">ebottlenecking is intended to exclude the costs of design-based do-overs that occur during construction. While </w:t>
            </w:r>
            <w:r>
              <w:t>included cost</w:t>
            </w:r>
            <w:r w:rsidRPr="00F64C61">
              <w:t xml:space="preserve"> are intended to broadly reflect a standardized cost of construction, the cost is not intended to reflect work done two or more times due to design changes. However, costs excluded from de-bottlenecking should not reflect costs associated with do-overs due to construction errors and faulty installations.</w:t>
            </w:r>
          </w:p>
        </w:tc>
      </w:tr>
    </w:tbl>
    <w:p w:rsidR="00F44166" w:rsidRDefault="00F44166" w:rsidP="00196FC8">
      <w:pPr>
        <w:pStyle w:val="ListParagraph"/>
        <w:ind w:left="2160"/>
        <w:rPr>
          <w:b/>
          <w:bCs/>
        </w:rPr>
      </w:pPr>
    </w:p>
    <w:p w:rsidR="00196FC8" w:rsidRPr="007127B3" w:rsidRDefault="00196FC8" w:rsidP="00196FC8">
      <w:pPr>
        <w:pStyle w:val="ListParagraph"/>
        <w:ind w:left="2160"/>
        <w:rPr>
          <w:bCs/>
        </w:rPr>
      </w:pPr>
      <w:r w:rsidRPr="00F64C61">
        <w:rPr>
          <w:b/>
          <w:bCs/>
        </w:rPr>
        <w:t>Removal costs</w:t>
      </w:r>
    </w:p>
    <w:p w:rsidR="00196FC8" w:rsidRPr="00F64C61" w:rsidRDefault="00196FC8" w:rsidP="00196FC8">
      <w:pPr>
        <w:pStyle w:val="ListParagraph"/>
        <w:numPr>
          <w:ilvl w:val="0"/>
          <w:numId w:val="32"/>
        </w:numPr>
        <w:rPr>
          <w:b/>
          <w:bCs/>
        </w:rPr>
      </w:pPr>
      <w:r w:rsidRPr="007127B3">
        <w:t>a</w:t>
      </w:r>
      <w:r w:rsidRPr="00F64C61">
        <w:t>s part of an alteration, costs directly related to the removal of or decommissioning assessed property when replaced by new assessed property, but does not include the costs to construct the new assessed property;</w:t>
      </w:r>
      <w:r w:rsidRPr="00F64C61">
        <w:rPr>
          <w:b/>
          <w:bCs/>
        </w:rPr>
        <w:t xml:space="preserve"> </w:t>
      </w:r>
    </w:p>
    <w:tbl>
      <w:tblPr>
        <w:tblStyle w:val="TableGrid"/>
        <w:tblW w:w="0" w:type="auto"/>
        <w:tblInd w:w="1458" w:type="dxa"/>
        <w:tblLook w:val="04A0" w:firstRow="1" w:lastRow="0" w:firstColumn="1" w:lastColumn="0" w:noHBand="0" w:noVBand="1"/>
      </w:tblPr>
      <w:tblGrid>
        <w:gridCol w:w="8118"/>
      </w:tblGrid>
      <w:tr w:rsidR="00196FC8" w:rsidRPr="00F64C61" w:rsidTr="007127B3">
        <w:tc>
          <w:tcPr>
            <w:tcW w:w="8118" w:type="dxa"/>
          </w:tcPr>
          <w:p w:rsidR="00196FC8" w:rsidRPr="00F64C61" w:rsidRDefault="00196FC8" w:rsidP="00A3257B">
            <w:pPr>
              <w:spacing w:before="120" w:after="120"/>
              <w:rPr>
                <w:bCs/>
              </w:rPr>
            </w:pPr>
            <w:r w:rsidRPr="00F64C61">
              <w:rPr>
                <w:bCs/>
              </w:rPr>
              <w:t xml:space="preserve">The costs of removing assessed property </w:t>
            </w:r>
            <w:r w:rsidR="00AD43EA" w:rsidRPr="00F64C61">
              <w:rPr>
                <w:bCs/>
              </w:rPr>
              <w:t xml:space="preserve">during an alteration </w:t>
            </w:r>
            <w:r w:rsidRPr="00F64C61">
              <w:rPr>
                <w:bCs/>
              </w:rPr>
              <w:t xml:space="preserve">are not assessable. See also Part 5, removal of former assessed property. </w:t>
            </w:r>
          </w:p>
        </w:tc>
      </w:tr>
    </w:tbl>
    <w:p w:rsidR="00196FC8" w:rsidRPr="00F64C61" w:rsidRDefault="00196FC8" w:rsidP="00196FC8">
      <w:pPr>
        <w:pStyle w:val="ListParagraph"/>
        <w:ind w:left="2160"/>
        <w:rPr>
          <w:b/>
          <w:bCs/>
        </w:rPr>
      </w:pPr>
    </w:p>
    <w:p w:rsidR="00196FC8" w:rsidRPr="00F64C61" w:rsidRDefault="00196FC8" w:rsidP="00196FC8">
      <w:pPr>
        <w:pStyle w:val="ListParagraph"/>
        <w:ind w:left="2160"/>
      </w:pPr>
      <w:r w:rsidRPr="00F64C61">
        <w:rPr>
          <w:b/>
          <w:bCs/>
        </w:rPr>
        <w:t>Commissioning costs (testing, pre-production, start-up)</w:t>
      </w:r>
    </w:p>
    <w:p w:rsidR="00196FC8" w:rsidRPr="00F64C61" w:rsidRDefault="00196FC8" w:rsidP="00196FC8">
      <w:pPr>
        <w:pStyle w:val="ListParagraph"/>
        <w:numPr>
          <w:ilvl w:val="0"/>
          <w:numId w:val="32"/>
        </w:numPr>
      </w:pPr>
      <w:r w:rsidRPr="00F64C61">
        <w:t>costs associated with operating the operational processing or manufacturing systems in the assessed property, including:</w:t>
      </w:r>
    </w:p>
    <w:p w:rsidR="00196FC8" w:rsidRPr="00F64C61" w:rsidRDefault="00196FC8" w:rsidP="00196FC8">
      <w:pPr>
        <w:pStyle w:val="ListParagraph"/>
        <w:numPr>
          <w:ilvl w:val="1"/>
          <w:numId w:val="32"/>
        </w:numPr>
      </w:pPr>
      <w:r w:rsidRPr="00F64C61">
        <w:t>testing, analyzing</w:t>
      </w:r>
      <w:r w:rsidR="00E70F71">
        <w:t>,</w:t>
      </w:r>
      <w:r w:rsidRPr="00F64C61">
        <w:t xml:space="preserve"> and verifying the operation of the systems,</w:t>
      </w:r>
    </w:p>
    <w:p w:rsidR="00196FC8" w:rsidRPr="00F64C61" w:rsidRDefault="00196FC8" w:rsidP="00196FC8">
      <w:pPr>
        <w:pStyle w:val="ListParagraph"/>
        <w:numPr>
          <w:ilvl w:val="1"/>
          <w:numId w:val="32"/>
        </w:numPr>
      </w:pPr>
      <w:r w:rsidRPr="00F64C61">
        <w:t>adjustments to installed devices to produce a product to design specifications,</w:t>
      </w:r>
    </w:p>
    <w:p w:rsidR="00196FC8" w:rsidRPr="00F64C61" w:rsidRDefault="00196FC8" w:rsidP="00196FC8">
      <w:pPr>
        <w:pStyle w:val="ListParagraph"/>
        <w:numPr>
          <w:ilvl w:val="1"/>
          <w:numId w:val="32"/>
        </w:numPr>
      </w:pPr>
      <w:r w:rsidRPr="00F64C61">
        <w:t>the initial process run to produce product to design specifications, and</w:t>
      </w:r>
    </w:p>
    <w:p w:rsidR="00196FC8" w:rsidRPr="00F64C61" w:rsidRDefault="00196FC8" w:rsidP="00A3257B">
      <w:pPr>
        <w:pStyle w:val="ListParagraph"/>
        <w:numPr>
          <w:ilvl w:val="1"/>
          <w:numId w:val="32"/>
        </w:numPr>
        <w:spacing w:after="0"/>
      </w:pPr>
      <w:proofErr w:type="gramStart"/>
      <w:r w:rsidRPr="00F64C61">
        <w:t>training</w:t>
      </w:r>
      <w:proofErr w:type="gramEnd"/>
      <w:r w:rsidRPr="00F64C61">
        <w:t xml:space="preserve"> of staff for the purposes of operating the assessed property.</w:t>
      </w:r>
    </w:p>
    <w:p w:rsidR="00196FC8" w:rsidRPr="00F64C61" w:rsidRDefault="00196FC8" w:rsidP="00AD7319">
      <w:pPr>
        <w:spacing w:after="0"/>
        <w:ind w:left="2160"/>
        <w:rPr>
          <w:b/>
          <w:bCs/>
        </w:rPr>
      </w:pPr>
      <w:r w:rsidRPr="00F64C61">
        <w:rPr>
          <w:b/>
          <w:bCs/>
        </w:rPr>
        <w:t>Reclamation costs</w:t>
      </w:r>
    </w:p>
    <w:p w:rsidR="00196FC8" w:rsidRPr="00F64C61" w:rsidRDefault="00196FC8" w:rsidP="00196FC8">
      <w:pPr>
        <w:pStyle w:val="ListParagraph"/>
        <w:numPr>
          <w:ilvl w:val="0"/>
          <w:numId w:val="32"/>
        </w:numPr>
      </w:pPr>
      <w:r w:rsidRPr="00F64C61">
        <w:t xml:space="preserve">costs incurred to restore any site in the vicinity of the </w:t>
      </w:r>
      <w:r w:rsidR="00676862" w:rsidRPr="00F64C61">
        <w:t xml:space="preserve">assessed </w:t>
      </w:r>
      <w:r w:rsidRPr="00F64C61">
        <w:t>property to the quality of neighbouring raw land after construction is complete, if reclamation work is required as a result of the project;</w:t>
      </w:r>
    </w:p>
    <w:p w:rsidR="00196FC8" w:rsidRPr="00F64C61" w:rsidRDefault="00196FC8" w:rsidP="00196FC8">
      <w:pPr>
        <w:pStyle w:val="ListParagraph"/>
        <w:spacing w:after="0"/>
        <w:ind w:left="2160"/>
        <w:rPr>
          <w:b/>
          <w:bCs/>
        </w:rPr>
      </w:pPr>
      <w:r w:rsidRPr="00F64C61">
        <w:rPr>
          <w:b/>
          <w:bCs/>
        </w:rPr>
        <w:t>Bonuses</w:t>
      </w:r>
    </w:p>
    <w:p w:rsidR="00AB0BF9" w:rsidRPr="00F64C61" w:rsidRDefault="00AB0BF9" w:rsidP="00AB0BF9">
      <w:pPr>
        <w:pStyle w:val="ListParagraph"/>
        <w:numPr>
          <w:ilvl w:val="0"/>
          <w:numId w:val="11"/>
        </w:numPr>
      </w:pPr>
      <w:r w:rsidRPr="00F64C61">
        <w:t>costs in the form of bonus payments for completion of the project or portion of the project prior to a stipulated deadline; and</w:t>
      </w:r>
    </w:p>
    <w:p w:rsidR="00196FC8" w:rsidRPr="00A3257B" w:rsidRDefault="00AD7319" w:rsidP="00196FC8">
      <w:pPr>
        <w:pStyle w:val="ListParagraph"/>
        <w:spacing w:after="0"/>
        <w:ind w:left="2160"/>
        <w:rPr>
          <w:b/>
        </w:rPr>
      </w:pPr>
      <w:r w:rsidRPr="00A3257B">
        <w:rPr>
          <w:b/>
        </w:rPr>
        <w:t>P</w:t>
      </w:r>
      <w:r w:rsidR="00196FC8" w:rsidRPr="00A3257B">
        <w:rPr>
          <w:b/>
        </w:rPr>
        <w:t>roperty</w:t>
      </w:r>
      <w:r w:rsidRPr="00A3257B">
        <w:rPr>
          <w:b/>
        </w:rPr>
        <w:t xml:space="preserve"> not assessed under these Guidelines</w:t>
      </w:r>
    </w:p>
    <w:p w:rsidR="00196FC8" w:rsidRPr="00F64C61" w:rsidRDefault="00196FC8" w:rsidP="00196FC8">
      <w:pPr>
        <w:pStyle w:val="ListParagraph"/>
        <w:numPr>
          <w:ilvl w:val="0"/>
          <w:numId w:val="32"/>
        </w:numPr>
      </w:pPr>
      <w:proofErr w:type="gramStart"/>
      <w:r w:rsidRPr="00F64C61">
        <w:t>costs</w:t>
      </w:r>
      <w:proofErr w:type="gramEnd"/>
      <w:r w:rsidRPr="00F64C61">
        <w:t xml:space="preserve"> of land, buildings</w:t>
      </w:r>
      <w:r w:rsidR="00E70F71">
        <w:t>,</w:t>
      </w:r>
      <w:r w:rsidRPr="00F64C61">
        <w:t xml:space="preserve"> and structures, and other property that does not form part of the assessed property.</w:t>
      </w:r>
    </w:p>
    <w:p w:rsidR="00DD7339" w:rsidRPr="00F64C61" w:rsidRDefault="00DD7339" w:rsidP="00DD7339">
      <w:pPr>
        <w:pStyle w:val="ListParagraph"/>
        <w:ind w:left="2520"/>
      </w:pPr>
    </w:p>
    <w:tbl>
      <w:tblPr>
        <w:tblStyle w:val="TableGrid"/>
        <w:tblW w:w="0" w:type="auto"/>
        <w:tblInd w:w="1278" w:type="dxa"/>
        <w:tblLook w:val="04A0" w:firstRow="1" w:lastRow="0" w:firstColumn="1" w:lastColumn="0" w:noHBand="0" w:noVBand="1"/>
      </w:tblPr>
      <w:tblGrid>
        <w:gridCol w:w="8298"/>
      </w:tblGrid>
      <w:tr w:rsidR="00DD7339" w:rsidRPr="00F64C61" w:rsidTr="00DD7339">
        <w:tc>
          <w:tcPr>
            <w:tcW w:w="8298" w:type="dxa"/>
          </w:tcPr>
          <w:p w:rsidR="00DD7339" w:rsidRPr="00F64C61" w:rsidRDefault="00DD7339" w:rsidP="00A3257B">
            <w:pPr>
              <w:pStyle w:val="ListParagraph"/>
              <w:spacing w:before="120" w:after="120"/>
              <w:ind w:left="0"/>
            </w:pPr>
            <w:r w:rsidRPr="00F64C61">
              <w:t xml:space="preserve">Project costs that relate to property that is not assessed property </w:t>
            </w:r>
            <w:r w:rsidR="00F64C61" w:rsidRPr="00F64C61">
              <w:t xml:space="preserve">under this guideline </w:t>
            </w:r>
            <w:r w:rsidRPr="00F64C61">
              <w:t>are excluded</w:t>
            </w:r>
            <w:r w:rsidR="00F64C61" w:rsidRPr="00F64C61">
              <w:t xml:space="preserve"> from the included cost calculation</w:t>
            </w:r>
            <w:r w:rsidRPr="00F64C61">
              <w:t xml:space="preserve">. For example, some project costs may relate partially to the construction of machinery and equipment (or linear property) and partially to buildings and structures. Costs attributable to property that is not assessed by using this guideline are excluded. </w:t>
            </w:r>
          </w:p>
        </w:tc>
      </w:tr>
    </w:tbl>
    <w:p w:rsidR="00DD7339" w:rsidRPr="00F64C61" w:rsidRDefault="00DD7339" w:rsidP="00A3257B">
      <w:pPr>
        <w:pStyle w:val="ListParagraph"/>
        <w:spacing w:after="0"/>
        <w:ind w:left="2520"/>
      </w:pPr>
    </w:p>
    <w:p w:rsidR="00196FC8" w:rsidRPr="00F64C61" w:rsidRDefault="00196FC8" w:rsidP="00196FC8">
      <w:pPr>
        <w:spacing w:after="100"/>
        <w:ind w:left="1440"/>
        <w:rPr>
          <w:color w:val="FF0000"/>
        </w:rPr>
      </w:pPr>
      <w:r w:rsidRPr="00F64C61">
        <w:t xml:space="preserve"> (3) The following costs must also be treated as excluded costs:</w:t>
      </w:r>
    </w:p>
    <w:p w:rsidR="00196FC8" w:rsidRPr="00F64C61" w:rsidRDefault="00196FC8" w:rsidP="00196FC8">
      <w:pPr>
        <w:pStyle w:val="ListParagraph"/>
        <w:ind w:left="2160"/>
        <w:rPr>
          <w:b/>
        </w:rPr>
      </w:pPr>
      <w:r w:rsidRPr="00F64C61">
        <w:rPr>
          <w:b/>
        </w:rPr>
        <w:t>Labour</w:t>
      </w:r>
    </w:p>
    <w:p w:rsidR="00196FC8" w:rsidRPr="00F64C61" w:rsidRDefault="00196FC8" w:rsidP="00196FC8">
      <w:pPr>
        <w:pStyle w:val="ListParagraph"/>
        <w:ind w:left="2160"/>
      </w:pPr>
      <w:r w:rsidRPr="00F64C61">
        <w:t>(</w:t>
      </w:r>
      <w:r w:rsidR="00265F3E" w:rsidRPr="00F64C61">
        <w:t>a</w:t>
      </w:r>
      <w:r w:rsidRPr="00F64C61">
        <w:t xml:space="preserve">)  costs of labour </w:t>
      </w:r>
      <w:r w:rsidR="00C93BC5" w:rsidRPr="00F64C61">
        <w:t>as determined by section</w:t>
      </w:r>
      <w:r w:rsidRPr="00F64C61">
        <w:t xml:space="preserve"> </w:t>
      </w:r>
      <w:r w:rsidR="00265F3E" w:rsidRPr="007127B3">
        <w:t>14</w:t>
      </w:r>
      <w:r w:rsidRPr="00F64C61">
        <w:t xml:space="preserve">, </w:t>
      </w:r>
    </w:p>
    <w:p w:rsidR="00196FC8" w:rsidRPr="00F64C61" w:rsidRDefault="00196FC8" w:rsidP="00196FC8">
      <w:pPr>
        <w:pStyle w:val="ListParagraph"/>
        <w:ind w:left="2160"/>
        <w:rPr>
          <w:b/>
        </w:rPr>
      </w:pPr>
      <w:r w:rsidRPr="00F64C61">
        <w:rPr>
          <w:b/>
        </w:rPr>
        <w:t>Transportation</w:t>
      </w:r>
    </w:p>
    <w:p w:rsidR="00196FC8" w:rsidRPr="00F64C61" w:rsidRDefault="00196FC8" w:rsidP="00196FC8">
      <w:pPr>
        <w:pStyle w:val="ListParagraph"/>
        <w:ind w:left="2160"/>
      </w:pPr>
      <w:r w:rsidRPr="00F64C61">
        <w:t>(</w:t>
      </w:r>
      <w:r w:rsidR="00265F3E" w:rsidRPr="00F64C61">
        <w:t>b</w:t>
      </w:r>
      <w:r w:rsidRPr="00F64C61">
        <w:t xml:space="preserve">)  </w:t>
      </w:r>
      <w:proofErr w:type="gramStart"/>
      <w:r w:rsidRPr="00F64C61">
        <w:t>transportation</w:t>
      </w:r>
      <w:proofErr w:type="gramEnd"/>
      <w:r w:rsidRPr="00F64C61">
        <w:t xml:space="preserve"> costs </w:t>
      </w:r>
      <w:r w:rsidR="00C93BC5" w:rsidRPr="00F64C61">
        <w:t>as determined in</w:t>
      </w:r>
      <w:r w:rsidRPr="00F64C61">
        <w:t xml:space="preserve"> </w:t>
      </w:r>
      <w:r w:rsidR="00265F3E" w:rsidRPr="00F64C61">
        <w:t>Part 3, division 2</w:t>
      </w:r>
      <w:r w:rsidR="00C93BC5" w:rsidRPr="00F64C61">
        <w:t>.</w:t>
      </w:r>
    </w:p>
    <w:p w:rsidR="00196FC8" w:rsidRPr="00F64C61" w:rsidRDefault="00196FC8" w:rsidP="00196FC8">
      <w:pPr>
        <w:pStyle w:val="ListParagraph"/>
        <w:ind w:left="2160"/>
      </w:pPr>
    </w:p>
    <w:tbl>
      <w:tblPr>
        <w:tblStyle w:val="TableGrid"/>
        <w:tblW w:w="0" w:type="auto"/>
        <w:tblInd w:w="1278" w:type="dxa"/>
        <w:tblLook w:val="04A0" w:firstRow="1" w:lastRow="0" w:firstColumn="1" w:lastColumn="0" w:noHBand="0" w:noVBand="1"/>
      </w:tblPr>
      <w:tblGrid>
        <w:gridCol w:w="8298"/>
      </w:tblGrid>
      <w:tr w:rsidR="00196FC8" w:rsidRPr="00F64C61" w:rsidTr="007127B3">
        <w:tc>
          <w:tcPr>
            <w:tcW w:w="8298" w:type="dxa"/>
          </w:tcPr>
          <w:p w:rsidR="00196FC8" w:rsidRPr="00F64C61" w:rsidRDefault="00196FC8" w:rsidP="007127B3">
            <w:pPr>
              <w:pStyle w:val="ListParagraph"/>
              <w:ind w:left="0"/>
            </w:pPr>
            <w:r w:rsidRPr="00F64C61">
              <w:t>Labour costs and transportation</w:t>
            </w:r>
            <w:r w:rsidR="00F64C61" w:rsidRPr="00F64C61">
              <w:t xml:space="preserve"> costs</w:t>
            </w:r>
            <w:r w:rsidRPr="00F64C61">
              <w:t xml:space="preserve"> are treated separately from other costs, and are therefore excluded costs for the purposes of this section. However, labour and transportation costs are ‘added back in’ after separate calculations in Part 4. </w:t>
            </w:r>
          </w:p>
          <w:p w:rsidR="00196FC8" w:rsidRPr="00F64C61" w:rsidRDefault="00196FC8" w:rsidP="00A3257B">
            <w:pPr>
              <w:pStyle w:val="ListParagraph"/>
              <w:spacing w:before="120" w:after="120"/>
              <w:ind w:left="0"/>
            </w:pPr>
            <w:r w:rsidRPr="00F64C61">
              <w:t>Additionally, the excluded cost</w:t>
            </w:r>
            <w:r w:rsidRPr="00A3257B">
              <w:t xml:space="preserve">s list in section </w:t>
            </w:r>
            <w:r w:rsidR="00C07A0E" w:rsidRPr="00A3257B">
              <w:t>22</w:t>
            </w:r>
            <w:r w:rsidRPr="00A3257B">
              <w:t>(2)</w:t>
            </w:r>
            <w:r w:rsidRPr="00F64C61">
              <w:t xml:space="preserve"> applies to Part 4. To avoid </w:t>
            </w:r>
            <w:proofErr w:type="gramStart"/>
            <w:r w:rsidRPr="00F64C61">
              <w:t>a circularity</w:t>
            </w:r>
            <w:proofErr w:type="gramEnd"/>
            <w:r w:rsidRPr="00F64C61">
              <w:t xml:space="preserve">, labour costs are excluded in </w:t>
            </w:r>
            <w:r w:rsidR="00804BFF" w:rsidRPr="00F64C61">
              <w:t>the</w:t>
            </w:r>
            <w:r w:rsidRPr="00F64C61">
              <w:t xml:space="preserve"> subsequent subsection.  </w:t>
            </w:r>
          </w:p>
        </w:tc>
      </w:tr>
    </w:tbl>
    <w:p w:rsidR="00196FC8" w:rsidRPr="00F64C61" w:rsidRDefault="00196FC8" w:rsidP="00A3257B">
      <w:pPr>
        <w:spacing w:after="0"/>
        <w:ind w:left="1440"/>
      </w:pPr>
    </w:p>
    <w:p w:rsidR="00196FC8" w:rsidRPr="00F64C61" w:rsidRDefault="00196FC8" w:rsidP="00A3257B">
      <w:pPr>
        <w:spacing w:after="360"/>
        <w:ind w:left="1440"/>
      </w:pPr>
      <w:r w:rsidRPr="00F64C61">
        <w:t xml:space="preserve">(4) The excluded costs stipulated in section </w:t>
      </w:r>
      <w:r w:rsidR="003D3ACB" w:rsidRPr="00881DC3">
        <w:t>22</w:t>
      </w:r>
      <w:r w:rsidRPr="00881DC3">
        <w:t>(2) a</w:t>
      </w:r>
      <w:r w:rsidRPr="00F64C61">
        <w:t xml:space="preserve">nd (3) </w:t>
      </w:r>
      <w:proofErr w:type="gramStart"/>
      <w:r w:rsidRPr="00F64C61">
        <w:t>is</w:t>
      </w:r>
      <w:proofErr w:type="gramEnd"/>
      <w:r w:rsidRPr="00F64C61">
        <w:t xml:space="preserve"> exhaustive.</w:t>
      </w:r>
    </w:p>
    <w:p w:rsidR="00196FC8" w:rsidRPr="00C0291D" w:rsidRDefault="00196FC8" w:rsidP="00506579">
      <w:pPr>
        <w:spacing w:after="0" w:line="240" w:lineRule="auto"/>
        <w:ind w:left="720" w:firstLine="720"/>
        <w:rPr>
          <w:b/>
        </w:rPr>
      </w:pPr>
      <w:r w:rsidRPr="00F64C61">
        <w:rPr>
          <w:b/>
        </w:rPr>
        <w:t>Cos</w:t>
      </w:r>
      <w:r w:rsidRPr="00C0291D">
        <w:rPr>
          <w:b/>
        </w:rPr>
        <w:t>ts which must not be excluded</w:t>
      </w:r>
    </w:p>
    <w:p w:rsidR="00196FC8" w:rsidRPr="00F64C61" w:rsidRDefault="00196FC8" w:rsidP="00196FC8">
      <w:pPr>
        <w:ind w:left="1440"/>
      </w:pPr>
      <w:r w:rsidRPr="00C0291D">
        <w:rPr>
          <w:b/>
        </w:rPr>
        <w:t>2</w:t>
      </w:r>
      <w:r w:rsidR="003D3ACB" w:rsidRPr="00C0291D">
        <w:rPr>
          <w:b/>
        </w:rPr>
        <w:t>3</w:t>
      </w:r>
      <w:r w:rsidR="007127B3" w:rsidRPr="00C0291D">
        <w:t>(1)</w:t>
      </w:r>
      <w:r w:rsidRPr="00C0291D">
        <w:t xml:space="preserve"> </w:t>
      </w:r>
      <w:proofErr w:type="gramStart"/>
      <w:r w:rsidRPr="00C0291D">
        <w:t>The</w:t>
      </w:r>
      <w:proofErr w:type="gramEnd"/>
      <w:r w:rsidRPr="00C0291D">
        <w:t xml:space="preserve"> following costs must not be treated as excluded costs</w:t>
      </w:r>
      <w:r w:rsidR="00F44166" w:rsidRPr="00C0291D">
        <w:t xml:space="preserve"> in a determination of excluded costs under section 22(2):</w:t>
      </w:r>
    </w:p>
    <w:p w:rsidR="00196FC8" w:rsidRPr="00F64C61" w:rsidRDefault="00196FC8" w:rsidP="00196FC8">
      <w:pPr>
        <w:pStyle w:val="ListParagraph"/>
        <w:numPr>
          <w:ilvl w:val="0"/>
          <w:numId w:val="5"/>
        </w:numPr>
      </w:pPr>
      <w:r w:rsidRPr="00F64C61">
        <w:t>costs relating to communications systems for internal and monitoring purposes, including supervisory control and data acquisition systems;</w:t>
      </w:r>
    </w:p>
    <w:p w:rsidR="00196FC8" w:rsidRPr="00F64C61" w:rsidRDefault="00196FC8" w:rsidP="00196FC8">
      <w:pPr>
        <w:pStyle w:val="ListParagraph"/>
        <w:numPr>
          <w:ilvl w:val="0"/>
          <w:numId w:val="5"/>
        </w:numPr>
      </w:pPr>
      <w:r w:rsidRPr="00F64C61">
        <w:t xml:space="preserve">costs relating to electronic technology, including computing hardware and software used to monitor and control construction of the </w:t>
      </w:r>
      <w:r w:rsidR="00676862" w:rsidRPr="00F64C61">
        <w:t xml:space="preserve">assessed </w:t>
      </w:r>
      <w:r w:rsidRPr="00F64C61">
        <w:t>property, the operation of the</w:t>
      </w:r>
      <w:r w:rsidR="00676862" w:rsidRPr="00F64C61">
        <w:t xml:space="preserve"> assessed</w:t>
      </w:r>
      <w:r w:rsidRPr="00F64C61">
        <w:t xml:space="preserve"> property, including a production process, or a portion thereof;</w:t>
      </w:r>
    </w:p>
    <w:p w:rsidR="00196FC8" w:rsidRPr="00F64C61" w:rsidRDefault="00196FC8" w:rsidP="00196FC8">
      <w:pPr>
        <w:pStyle w:val="ListParagraph"/>
        <w:numPr>
          <w:ilvl w:val="0"/>
          <w:numId w:val="5"/>
        </w:numPr>
      </w:pPr>
      <w:r w:rsidRPr="00F64C61">
        <w:t>costs relating to equipment maintenance, including but not limited to maintenance, repair, replacements, turnarounds</w:t>
      </w:r>
      <w:r w:rsidR="00866833">
        <w:t>,</w:t>
      </w:r>
      <w:r w:rsidRPr="00F64C61">
        <w:t xml:space="preserve"> and winterization;</w:t>
      </w:r>
    </w:p>
    <w:p w:rsidR="00196FC8" w:rsidRPr="00F64C61" w:rsidRDefault="00196FC8" w:rsidP="00196FC8">
      <w:pPr>
        <w:pStyle w:val="ListParagraph"/>
        <w:numPr>
          <w:ilvl w:val="0"/>
          <w:numId w:val="5"/>
        </w:numPr>
      </w:pPr>
      <w:r w:rsidRPr="00F64C61">
        <w:t>costs associated with the installation of</w:t>
      </w:r>
      <w:r w:rsidR="00676862" w:rsidRPr="00F64C61">
        <w:t xml:space="preserve"> assessed</w:t>
      </w:r>
      <w:r w:rsidRPr="00F64C61">
        <w:t xml:space="preserve"> property before, after or resulting from commissioning, pre-production runs</w:t>
      </w:r>
      <w:r w:rsidR="00866833">
        <w:t>,</w:t>
      </w:r>
      <w:r w:rsidRPr="00F64C61">
        <w:t xml:space="preserve"> and start-ups;</w:t>
      </w:r>
    </w:p>
    <w:p w:rsidR="00196FC8" w:rsidRPr="00F64C61" w:rsidRDefault="00196FC8" w:rsidP="00196FC8">
      <w:pPr>
        <w:pStyle w:val="ListParagraph"/>
        <w:numPr>
          <w:ilvl w:val="0"/>
          <w:numId w:val="5"/>
        </w:numPr>
      </w:pPr>
      <w:r w:rsidRPr="00F64C61">
        <w:t xml:space="preserve">costs relating to the acquisition of materials used for construction of the </w:t>
      </w:r>
      <w:r w:rsidR="00676862" w:rsidRPr="00F64C61">
        <w:t xml:space="preserve">assessed </w:t>
      </w:r>
      <w:r w:rsidRPr="00F64C61">
        <w:t>property;</w:t>
      </w:r>
    </w:p>
    <w:p w:rsidR="00196FC8" w:rsidRDefault="00196FC8" w:rsidP="00196FC8">
      <w:pPr>
        <w:pStyle w:val="ListParagraph"/>
        <w:numPr>
          <w:ilvl w:val="0"/>
          <w:numId w:val="5"/>
        </w:numPr>
      </w:pPr>
      <w:r w:rsidRPr="00F64C61">
        <w:t>costs associated with monitoring, control and management project work or construction;</w:t>
      </w:r>
    </w:p>
    <w:p w:rsidR="007127B3" w:rsidRPr="00F64C61" w:rsidRDefault="007127B3" w:rsidP="00196FC8">
      <w:pPr>
        <w:pStyle w:val="ListParagraph"/>
        <w:numPr>
          <w:ilvl w:val="0"/>
          <w:numId w:val="5"/>
        </w:numPr>
      </w:pPr>
      <w:r>
        <w:t>costs relating to site finishing;</w:t>
      </w:r>
    </w:p>
    <w:p w:rsidR="00196FC8" w:rsidRPr="00F64C61" w:rsidRDefault="00196FC8" w:rsidP="00196FC8">
      <w:pPr>
        <w:pStyle w:val="ListParagraph"/>
        <w:numPr>
          <w:ilvl w:val="0"/>
          <w:numId w:val="5"/>
        </w:numPr>
      </w:pPr>
      <w:r w:rsidRPr="00F64C61">
        <w:t xml:space="preserve">costs relating to clean-up after a project, including the, removal of rubbish; </w:t>
      </w:r>
    </w:p>
    <w:p w:rsidR="00196FC8" w:rsidRPr="00F64C61" w:rsidRDefault="00196FC8" w:rsidP="00196FC8">
      <w:pPr>
        <w:pStyle w:val="ListParagraph"/>
        <w:numPr>
          <w:ilvl w:val="0"/>
          <w:numId w:val="5"/>
        </w:numPr>
      </w:pPr>
      <w:r w:rsidRPr="00F64C61">
        <w:t>cost relating to security, including camera systems, alarms, and exterior lighting,</w:t>
      </w:r>
    </w:p>
    <w:p w:rsidR="00196FC8" w:rsidRPr="00F64C61" w:rsidRDefault="00196FC8" w:rsidP="00196FC8">
      <w:pPr>
        <w:pStyle w:val="ListParagraph"/>
        <w:numPr>
          <w:ilvl w:val="0"/>
          <w:numId w:val="5"/>
        </w:numPr>
      </w:pPr>
      <w:r w:rsidRPr="00F64C61">
        <w:t>costs relating to fire protection including housings, hydrants, fire lines</w:t>
      </w:r>
      <w:r w:rsidR="00866833">
        <w:t>,</w:t>
      </w:r>
      <w:r w:rsidRPr="00F64C61">
        <w:t xml:space="preserve"> and suppression systems;</w:t>
      </w:r>
    </w:p>
    <w:p w:rsidR="00196FC8" w:rsidRPr="00F64C61" w:rsidRDefault="00196FC8" w:rsidP="00196FC8">
      <w:pPr>
        <w:pStyle w:val="ListParagraph"/>
        <w:numPr>
          <w:ilvl w:val="0"/>
          <w:numId w:val="5"/>
        </w:numPr>
      </w:pPr>
      <w:r w:rsidRPr="00F64C61">
        <w:t>costs relating to site preparation, including clearing, leveling and finishing the site to standards typical of land which has been stripped and graded to the standards typical for industrial land in the municipality prior to the field installation of any structures, buildings, (</w:t>
      </w:r>
      <w:r w:rsidR="00866833" w:rsidRPr="00F64C61">
        <w:t>machinery and equipment or linear property</w:t>
      </w:r>
      <w:r w:rsidRPr="00F64C61">
        <w:t xml:space="preserve">) in the municipality where the </w:t>
      </w:r>
      <w:r w:rsidR="00676862" w:rsidRPr="00F64C61">
        <w:t xml:space="preserve">assessed </w:t>
      </w:r>
      <w:r w:rsidRPr="00F64C61">
        <w:t>property is located;</w:t>
      </w:r>
    </w:p>
    <w:p w:rsidR="00196FC8" w:rsidRPr="00F64C61" w:rsidRDefault="00196FC8" w:rsidP="00196FC8">
      <w:pPr>
        <w:pStyle w:val="ListParagraph"/>
        <w:numPr>
          <w:ilvl w:val="0"/>
          <w:numId w:val="5"/>
        </w:numPr>
      </w:pPr>
      <w:r w:rsidRPr="00F64C61">
        <w:t>costs relating to having equipment ready on a stand-by basis;</w:t>
      </w:r>
    </w:p>
    <w:p w:rsidR="00196FC8" w:rsidRPr="00F64C61" w:rsidRDefault="00196FC8" w:rsidP="00196FC8">
      <w:pPr>
        <w:pStyle w:val="ListParagraph"/>
        <w:numPr>
          <w:ilvl w:val="0"/>
          <w:numId w:val="5"/>
        </w:numPr>
      </w:pPr>
      <w:r w:rsidRPr="00F64C61">
        <w:t>costs relating to testing operational systems during construction, including construction equipment, scaffolding, pumps, tools</w:t>
      </w:r>
      <w:r w:rsidR="00866833">
        <w:t>,</w:t>
      </w:r>
      <w:r w:rsidRPr="00F64C61">
        <w:t xml:space="preserve"> and consumable supplies;</w:t>
      </w:r>
    </w:p>
    <w:p w:rsidR="00196FC8" w:rsidRPr="00F64C61" w:rsidRDefault="00196FC8" w:rsidP="00196FC8">
      <w:pPr>
        <w:pStyle w:val="ListParagraph"/>
        <w:numPr>
          <w:ilvl w:val="0"/>
          <w:numId w:val="5"/>
        </w:numPr>
      </w:pPr>
      <w:proofErr w:type="gramStart"/>
      <w:r w:rsidRPr="00F64C61">
        <w:rPr>
          <w:lang w:val="en-US"/>
        </w:rPr>
        <w:t>costs</w:t>
      </w:r>
      <w:proofErr w:type="gramEnd"/>
      <w:r w:rsidRPr="00F64C61">
        <w:rPr>
          <w:lang w:val="en-US"/>
        </w:rPr>
        <w:t xml:space="preserve"> </w:t>
      </w:r>
      <w:r w:rsidRPr="00F64C61">
        <w:t xml:space="preserve">relating to </w:t>
      </w:r>
      <w:r w:rsidRPr="00F64C61">
        <w:rPr>
          <w:lang w:val="en-US"/>
        </w:rPr>
        <w:t>delays, schedule slippage, and unproductive labour</w:t>
      </w:r>
      <w:r w:rsidR="00C367C7" w:rsidRPr="00F64C61">
        <w:rPr>
          <w:lang w:val="en-US"/>
        </w:rPr>
        <w:t>, except for work stoppages, debottlenecking and removals.</w:t>
      </w:r>
    </w:p>
    <w:p w:rsidR="0073495C" w:rsidRPr="00F64C61" w:rsidRDefault="0073495C" w:rsidP="00A3257B">
      <w:pPr>
        <w:spacing w:after="120"/>
        <w:jc w:val="center"/>
        <w:rPr>
          <w:b/>
        </w:rPr>
      </w:pPr>
      <w:r w:rsidRPr="00F64C61">
        <w:rPr>
          <w:b/>
        </w:rPr>
        <w:t>Part 5</w:t>
      </w:r>
    </w:p>
    <w:p w:rsidR="0073495C" w:rsidRPr="00F64C61" w:rsidRDefault="0073495C" w:rsidP="00A3257B">
      <w:pPr>
        <w:pStyle w:val="NoSpacing"/>
        <w:spacing w:after="120"/>
        <w:jc w:val="center"/>
        <w:rPr>
          <w:b/>
        </w:rPr>
      </w:pPr>
      <w:r w:rsidRPr="00F64C61">
        <w:rPr>
          <w:b/>
        </w:rPr>
        <w:t>Removals</w:t>
      </w:r>
    </w:p>
    <w:p w:rsidR="001C6CF5" w:rsidRDefault="001C6CF5" w:rsidP="001C6CF5">
      <w:pPr>
        <w:spacing w:after="0"/>
        <w:ind w:left="1440"/>
        <w:rPr>
          <w:b/>
        </w:rPr>
      </w:pPr>
      <w:r>
        <w:rPr>
          <w:b/>
        </w:rPr>
        <w:t>Definitions</w:t>
      </w:r>
    </w:p>
    <w:p w:rsidR="00C3040E" w:rsidRPr="00F64C61" w:rsidRDefault="0073495C" w:rsidP="00C3040E">
      <w:pPr>
        <w:ind w:left="1440"/>
      </w:pPr>
      <w:r w:rsidRPr="00F64C61">
        <w:rPr>
          <w:b/>
        </w:rPr>
        <w:t>2</w:t>
      </w:r>
      <w:r w:rsidR="00596648" w:rsidRPr="00F64C61">
        <w:rPr>
          <w:b/>
        </w:rPr>
        <w:t>4</w:t>
      </w:r>
      <w:r w:rsidR="00C3040E" w:rsidRPr="00F64C61">
        <w:t>(1)</w:t>
      </w:r>
      <w:r w:rsidR="00C3040E" w:rsidRPr="00F64C61">
        <w:rPr>
          <w:b/>
        </w:rPr>
        <w:t xml:space="preserve"> </w:t>
      </w:r>
      <w:proofErr w:type="gramStart"/>
      <w:r w:rsidR="00C3040E" w:rsidRPr="00F64C61">
        <w:t>In</w:t>
      </w:r>
      <w:proofErr w:type="gramEnd"/>
      <w:r w:rsidR="00C3040E" w:rsidRPr="00F64C61">
        <w:t xml:space="preserve"> this</w:t>
      </w:r>
      <w:r w:rsidR="00C3040E" w:rsidRPr="00F64C61">
        <w:rPr>
          <w:b/>
        </w:rPr>
        <w:t xml:space="preserve"> </w:t>
      </w:r>
      <w:r w:rsidR="00C3040E" w:rsidRPr="00F64C61">
        <w:t xml:space="preserve">section, “former assessed property” means a portion of property that was assessed property in a prior year, but </w:t>
      </w:r>
    </w:p>
    <w:p w:rsidR="00C3040E" w:rsidRPr="00F64C61" w:rsidRDefault="00C3040E" w:rsidP="00C3040E">
      <w:pPr>
        <w:pStyle w:val="ListParagraph"/>
        <w:numPr>
          <w:ilvl w:val="0"/>
          <w:numId w:val="34"/>
        </w:numPr>
      </w:pPr>
      <w:r w:rsidRPr="00F64C61">
        <w:t>was removed</w:t>
      </w:r>
      <w:r w:rsidR="00866833">
        <w:t>,</w:t>
      </w:r>
    </w:p>
    <w:p w:rsidR="00C3040E" w:rsidRPr="00F64C61" w:rsidRDefault="00C3040E" w:rsidP="00C3040E">
      <w:pPr>
        <w:pStyle w:val="ListParagraph"/>
        <w:numPr>
          <w:ilvl w:val="0"/>
          <w:numId w:val="34"/>
        </w:numPr>
      </w:pPr>
      <w:r w:rsidRPr="00F64C61">
        <w:t>ceased to be operational</w:t>
      </w:r>
      <w:r w:rsidR="00866833">
        <w:t>,</w:t>
      </w:r>
    </w:p>
    <w:p w:rsidR="00C3040E" w:rsidRPr="00F64C61" w:rsidRDefault="00C3040E" w:rsidP="00C3040E">
      <w:pPr>
        <w:pStyle w:val="ListParagraph"/>
        <w:numPr>
          <w:ilvl w:val="0"/>
          <w:numId w:val="34"/>
        </w:numPr>
      </w:pPr>
      <w:r w:rsidRPr="00F64C61">
        <w:t>otherwise became non-assessable</w:t>
      </w:r>
    </w:p>
    <w:p w:rsidR="00C3040E" w:rsidRPr="00F64C61" w:rsidRDefault="00C3040E" w:rsidP="00C3040E">
      <w:pPr>
        <w:ind w:left="1440"/>
      </w:pPr>
      <w:proofErr w:type="gramStart"/>
      <w:r w:rsidRPr="00F64C61">
        <w:t>but</w:t>
      </w:r>
      <w:proofErr w:type="gramEnd"/>
      <w:r w:rsidRPr="00F64C61">
        <w:t xml:space="preserve"> a remaining portion of the assessed property continues to be in place, operational or otherwise assessable.</w:t>
      </w:r>
    </w:p>
    <w:p w:rsidR="001C6CF5" w:rsidRPr="00F64C61" w:rsidRDefault="001C6CF5" w:rsidP="001C6CF5">
      <w:pPr>
        <w:spacing w:after="0" w:line="240" w:lineRule="auto"/>
        <w:ind w:left="720" w:firstLine="720"/>
        <w:rPr>
          <w:b/>
        </w:rPr>
      </w:pPr>
      <w:r w:rsidRPr="00F64C61">
        <w:rPr>
          <w:b/>
        </w:rPr>
        <w:t>Removal of assessed property</w:t>
      </w:r>
    </w:p>
    <w:p w:rsidR="00030B12" w:rsidRDefault="001C6CF5" w:rsidP="001C6CF5">
      <w:pPr>
        <w:ind w:left="1440"/>
      </w:pPr>
      <w:r w:rsidRPr="001C6CF5">
        <w:rPr>
          <w:b/>
        </w:rPr>
        <w:t>25</w:t>
      </w:r>
      <w:r w:rsidRPr="00F64C61">
        <w:t xml:space="preserve"> </w:t>
      </w:r>
      <w:r w:rsidR="0053080A" w:rsidRPr="00F64C61">
        <w:t>(</w:t>
      </w:r>
      <w:r>
        <w:t>1</w:t>
      </w:r>
      <w:r w:rsidR="0053080A" w:rsidRPr="00F64C61">
        <w:t>)</w:t>
      </w:r>
      <w:r w:rsidR="0073495C" w:rsidRPr="00F64C61">
        <w:t xml:space="preserve"> Where </w:t>
      </w:r>
      <w:r w:rsidR="003B0EED" w:rsidRPr="00F64C61">
        <w:t xml:space="preserve">the </w:t>
      </w:r>
      <w:r w:rsidR="00DB211D" w:rsidRPr="00F64C61">
        <w:t>assessed property</w:t>
      </w:r>
      <w:r w:rsidR="003B0EED" w:rsidRPr="00F64C61">
        <w:t xml:space="preserve">’s included cost from a prior year includes costs attributable to former assessed property, the </w:t>
      </w:r>
      <w:r w:rsidR="0053080A" w:rsidRPr="00F64C61">
        <w:t>included cost of the assessed property must be adjusted in accordance with this section.</w:t>
      </w:r>
    </w:p>
    <w:tbl>
      <w:tblPr>
        <w:tblStyle w:val="TableGrid"/>
        <w:tblW w:w="0" w:type="auto"/>
        <w:tblInd w:w="1440" w:type="dxa"/>
        <w:tblLook w:val="04A0" w:firstRow="1" w:lastRow="0" w:firstColumn="1" w:lastColumn="0" w:noHBand="0" w:noVBand="1"/>
      </w:tblPr>
      <w:tblGrid>
        <w:gridCol w:w="8136"/>
      </w:tblGrid>
      <w:tr w:rsidR="004D466E" w:rsidTr="00762F75">
        <w:tc>
          <w:tcPr>
            <w:tcW w:w="8136" w:type="dxa"/>
          </w:tcPr>
          <w:p w:rsidR="004D466E" w:rsidRPr="00A3257B" w:rsidRDefault="004D466E" w:rsidP="004D466E">
            <w:pPr>
              <w:spacing w:before="120" w:after="120"/>
            </w:pPr>
            <w:r w:rsidRPr="00F64C61">
              <w:t xml:space="preserve">Where property is replaced, the original </w:t>
            </w:r>
            <w:r w:rsidR="00F44166">
              <w:t>included cost</w:t>
            </w:r>
            <w:r w:rsidRPr="00F64C61">
              <w:t xml:space="preserve"> for the property that is removed should be removed from the year(s) in which that property was first assessed, </w:t>
            </w:r>
            <w:r w:rsidRPr="00A3257B">
              <w:t xml:space="preserve">and new </w:t>
            </w:r>
            <w:r w:rsidR="00F44166">
              <w:t>included cost</w:t>
            </w:r>
            <w:r w:rsidRPr="00A3257B">
              <w:t xml:space="preserve"> should be added on the basis of the year of the alteration.</w:t>
            </w:r>
          </w:p>
          <w:p w:rsidR="004D466E" w:rsidRDefault="004D466E" w:rsidP="004D466E">
            <w:pPr>
              <w:spacing w:before="120" w:after="120"/>
            </w:pPr>
            <w:r w:rsidRPr="00A3257B">
              <w:t>If the first operational date of the property that is subsequently removed is prior to January 1, 2018 then the determination of that cost which will be removed should be in accordance with the 2005 Construction Cost Reporting  Guide</w:t>
            </w:r>
          </w:p>
        </w:tc>
      </w:tr>
    </w:tbl>
    <w:p w:rsidR="007A6704" w:rsidRPr="00F64C61" w:rsidRDefault="007A6704" w:rsidP="004D466E">
      <w:pPr>
        <w:spacing w:before="120"/>
        <w:ind w:left="1440"/>
      </w:pPr>
      <w:r w:rsidRPr="00F64C61">
        <w:t>(</w:t>
      </w:r>
      <w:r w:rsidR="001C6CF5">
        <w:t>2</w:t>
      </w:r>
      <w:r w:rsidRPr="00F64C61">
        <w:t xml:space="preserve">) </w:t>
      </w:r>
      <w:r w:rsidR="00C3040E" w:rsidRPr="00F64C61">
        <w:t>The assessor must determine, on the best available evidence, or where no evidence is available</w:t>
      </w:r>
      <w:r w:rsidR="00A246BC" w:rsidRPr="00F64C61">
        <w:t xml:space="preserve"> by estimate</w:t>
      </w:r>
      <w:r w:rsidR="00C3040E" w:rsidRPr="00F64C61">
        <w:t xml:space="preserve">, the included cost for the </w:t>
      </w:r>
      <w:r w:rsidR="00A246BC" w:rsidRPr="00F64C61">
        <w:t xml:space="preserve">former assessed property. </w:t>
      </w:r>
    </w:p>
    <w:p w:rsidR="005E2BA8" w:rsidRPr="00F64C61" w:rsidRDefault="001C6CF5" w:rsidP="00030B12">
      <w:pPr>
        <w:ind w:left="1440"/>
      </w:pPr>
      <w:r>
        <w:t>(3</w:t>
      </w:r>
      <w:r w:rsidR="005E2BA8" w:rsidRPr="00F64C61">
        <w:t xml:space="preserve">) The </w:t>
      </w:r>
      <w:r w:rsidR="00F44166">
        <w:t>included cost</w:t>
      </w:r>
      <w:r w:rsidR="005E2BA8" w:rsidRPr="00F64C61">
        <w:t xml:space="preserve"> </w:t>
      </w:r>
      <w:r w:rsidR="001E2CB5" w:rsidRPr="00F64C61">
        <w:t xml:space="preserve">for former assessed property may be removed </w:t>
      </w:r>
      <w:r w:rsidR="007D392A" w:rsidRPr="00F64C61">
        <w:t xml:space="preserve">from the </w:t>
      </w:r>
      <w:r w:rsidR="00F44166">
        <w:t>included cost</w:t>
      </w:r>
      <w:r w:rsidR="007D392A" w:rsidRPr="00F64C61">
        <w:t xml:space="preserve"> of the assessed property </w:t>
      </w:r>
      <w:r w:rsidR="001E2CB5" w:rsidRPr="00F64C61">
        <w:t xml:space="preserve">on a year-by-year basis or as a </w:t>
      </w:r>
      <w:r w:rsidR="00300E99" w:rsidRPr="00F64C61">
        <w:t>mult</w:t>
      </w:r>
      <w:r w:rsidR="003363FE" w:rsidRPr="00F64C61">
        <w:t>i</w:t>
      </w:r>
      <w:r w:rsidR="00300E99" w:rsidRPr="00F64C61">
        <w:t>-year</w:t>
      </w:r>
      <w:r w:rsidR="001E2CB5" w:rsidRPr="00F64C61">
        <w:t xml:space="preserve"> amount, </w:t>
      </w:r>
      <w:r w:rsidR="00D2771D" w:rsidRPr="00F64C61">
        <w:t xml:space="preserve">based on </w:t>
      </w:r>
      <w:r w:rsidR="00A11814" w:rsidRPr="00F64C61">
        <w:t>whichever approach</w:t>
      </w:r>
      <w:r w:rsidR="00D2771D" w:rsidRPr="00F64C61">
        <w:t xml:space="preserve"> is more appropriate in the circumstances, </w:t>
      </w:r>
      <w:r w:rsidR="00956C4C" w:rsidRPr="00F64C61">
        <w:t xml:space="preserve">according to </w:t>
      </w:r>
      <w:r w:rsidR="001E2CB5" w:rsidRPr="00F64C61">
        <w:t xml:space="preserve">the discretion of the assessor. </w:t>
      </w:r>
    </w:p>
    <w:p w:rsidR="00597239" w:rsidRDefault="001C6CF5" w:rsidP="00030B12">
      <w:pPr>
        <w:ind w:left="1440"/>
      </w:pPr>
      <w:r>
        <w:t>(4</w:t>
      </w:r>
      <w:r w:rsidR="00597239" w:rsidRPr="00F64C61">
        <w:t xml:space="preserve">) This section applies to </w:t>
      </w:r>
      <w:r w:rsidR="001063A3" w:rsidRPr="00F64C61">
        <w:t>alteration projects</w:t>
      </w:r>
      <w:r w:rsidR="00C47C22" w:rsidRPr="00F64C61">
        <w:t xml:space="preserve"> where former assessed property is removed and replaced with new assessed property. </w:t>
      </w:r>
    </w:p>
    <w:tbl>
      <w:tblPr>
        <w:tblStyle w:val="TableGrid"/>
        <w:tblW w:w="0" w:type="auto"/>
        <w:tblInd w:w="1440" w:type="dxa"/>
        <w:tblLook w:val="04A0" w:firstRow="1" w:lastRow="0" w:firstColumn="1" w:lastColumn="0" w:noHBand="0" w:noVBand="1"/>
      </w:tblPr>
      <w:tblGrid>
        <w:gridCol w:w="8136"/>
      </w:tblGrid>
      <w:tr w:rsidR="004D466E" w:rsidTr="004D466E">
        <w:tc>
          <w:tcPr>
            <w:tcW w:w="9576" w:type="dxa"/>
          </w:tcPr>
          <w:p w:rsidR="004D466E" w:rsidRDefault="004D466E" w:rsidP="00F02372">
            <w:pPr>
              <w:spacing w:before="120" w:after="120"/>
            </w:pPr>
            <w:r>
              <w:t>T</w:t>
            </w:r>
            <w:r w:rsidRPr="00E37B49">
              <w:t>he installation of</w:t>
            </w:r>
            <w:r w:rsidR="00F02372">
              <w:t xml:space="preserve"> any</w:t>
            </w:r>
            <w:r w:rsidRPr="00E37B49">
              <w:t xml:space="preserve"> material </w:t>
            </w:r>
            <w:r>
              <w:t>that</w:t>
            </w:r>
            <w:r w:rsidRPr="00E37B49">
              <w:t xml:space="preserve"> improve</w:t>
            </w:r>
            <w:r w:rsidR="00F02372">
              <w:t>s</w:t>
            </w:r>
            <w:r w:rsidRPr="00E37B49">
              <w:t xml:space="preserve"> operational capacity, efficiency</w:t>
            </w:r>
            <w:r w:rsidR="00866833">
              <w:t>,</w:t>
            </w:r>
            <w:r w:rsidRPr="00E37B49">
              <w:t xml:space="preserve"> or life expectancy of the facility</w:t>
            </w:r>
            <w:r w:rsidR="00F02372">
              <w:t xml:space="preserve"> after the facility becomes operational</w:t>
            </w:r>
            <w:r>
              <w:t xml:space="preserve"> </w:t>
            </w:r>
            <w:r w:rsidR="00F02372">
              <w:t>is</w:t>
            </w:r>
            <w:r>
              <w:t xml:space="preserve"> assessable. This includes</w:t>
            </w:r>
            <w:r w:rsidRPr="00E37B49">
              <w:t xml:space="preserve"> any additions, modifications, replacements, reconditioning</w:t>
            </w:r>
            <w:r w:rsidR="00866833">
              <w:t>,</w:t>
            </w:r>
            <w:r w:rsidRPr="00E37B49">
              <w:t xml:space="preserve"> and retrofits</w:t>
            </w:r>
            <w:r w:rsidR="00F02372">
              <w:t xml:space="preserve">. The assessed person must annually report any additions and modifications made to the facility. </w:t>
            </w:r>
          </w:p>
        </w:tc>
      </w:tr>
    </w:tbl>
    <w:p w:rsidR="00762F75" w:rsidRDefault="00762F75" w:rsidP="00DE0A91">
      <w:pPr>
        <w:jc w:val="center"/>
        <w:rPr>
          <w:b/>
        </w:rPr>
      </w:pPr>
    </w:p>
    <w:p w:rsidR="005C3451" w:rsidRPr="00F64C61" w:rsidRDefault="00DE0A91" w:rsidP="00DE0A91">
      <w:pPr>
        <w:jc w:val="center"/>
        <w:rPr>
          <w:b/>
        </w:rPr>
      </w:pPr>
      <w:r w:rsidRPr="00F64C61">
        <w:rPr>
          <w:b/>
        </w:rPr>
        <w:t>Pa</w:t>
      </w:r>
      <w:r w:rsidR="005C3451" w:rsidRPr="00F64C61">
        <w:rPr>
          <w:b/>
        </w:rPr>
        <w:t xml:space="preserve">rt </w:t>
      </w:r>
      <w:r w:rsidR="00CF0F10" w:rsidRPr="00F64C61">
        <w:rPr>
          <w:b/>
        </w:rPr>
        <w:t>6</w:t>
      </w:r>
    </w:p>
    <w:p w:rsidR="005C3451" w:rsidRPr="00F64C61" w:rsidRDefault="0006643E" w:rsidP="005C3451">
      <w:pPr>
        <w:pStyle w:val="NoSpacing"/>
        <w:jc w:val="center"/>
        <w:rPr>
          <w:b/>
        </w:rPr>
      </w:pPr>
      <w:r w:rsidRPr="00F64C61">
        <w:rPr>
          <w:b/>
        </w:rPr>
        <w:t>Effective date</w:t>
      </w:r>
    </w:p>
    <w:p w:rsidR="005C3451" w:rsidRPr="00F64C61" w:rsidRDefault="005C3451" w:rsidP="005C3451">
      <w:pPr>
        <w:pStyle w:val="NoSpacing"/>
        <w:jc w:val="center"/>
        <w:rPr>
          <w:b/>
        </w:rPr>
      </w:pPr>
    </w:p>
    <w:p w:rsidR="000D6691" w:rsidRPr="00F64C61" w:rsidRDefault="004A331F" w:rsidP="004A331F">
      <w:pPr>
        <w:spacing w:after="0" w:line="240" w:lineRule="auto"/>
        <w:ind w:left="720" w:firstLine="720"/>
        <w:rPr>
          <w:b/>
        </w:rPr>
      </w:pPr>
      <w:r w:rsidRPr="00F64C61">
        <w:rPr>
          <w:b/>
        </w:rPr>
        <w:t>Coming i</w:t>
      </w:r>
      <w:r w:rsidR="000D6691" w:rsidRPr="00F64C61">
        <w:rPr>
          <w:b/>
        </w:rPr>
        <w:t xml:space="preserve">nto </w:t>
      </w:r>
      <w:r w:rsidRPr="00F64C61">
        <w:rPr>
          <w:b/>
        </w:rPr>
        <w:t>f</w:t>
      </w:r>
      <w:r w:rsidR="000D6691" w:rsidRPr="00F64C61">
        <w:rPr>
          <w:b/>
        </w:rPr>
        <w:t>orce</w:t>
      </w:r>
    </w:p>
    <w:p w:rsidR="00C047D2" w:rsidRPr="00F64C61" w:rsidRDefault="000D6691" w:rsidP="000D6691">
      <w:pPr>
        <w:pStyle w:val="NoSpacing"/>
      </w:pPr>
      <w:r w:rsidRPr="00F64C61">
        <w:rPr>
          <w:b/>
        </w:rPr>
        <w:tab/>
      </w:r>
      <w:r w:rsidRPr="00F64C61">
        <w:rPr>
          <w:b/>
        </w:rPr>
        <w:tab/>
      </w:r>
      <w:r w:rsidR="001565F5" w:rsidRPr="00F64C61">
        <w:rPr>
          <w:b/>
        </w:rPr>
        <w:t>2</w:t>
      </w:r>
      <w:r w:rsidR="00440B50" w:rsidRPr="00F64C61">
        <w:rPr>
          <w:b/>
        </w:rPr>
        <w:t>5</w:t>
      </w:r>
      <w:r w:rsidRPr="00F64C61">
        <w:t xml:space="preserve">   This </w:t>
      </w:r>
      <w:r w:rsidR="001565F5" w:rsidRPr="00F64C61">
        <w:t>G</w:t>
      </w:r>
      <w:r w:rsidR="00F82F7C" w:rsidRPr="00F64C61">
        <w:t>uideline</w:t>
      </w:r>
      <w:r w:rsidRPr="00F64C61">
        <w:t xml:space="preserve"> comes into </w:t>
      </w:r>
      <w:r w:rsidR="00AF64FC" w:rsidRPr="00F64C61">
        <w:t>effect</w:t>
      </w:r>
      <w:r w:rsidRPr="00F64C61">
        <w:t xml:space="preserve"> on January 1, 2018.</w:t>
      </w:r>
    </w:p>
    <w:p w:rsidR="004C7FBB" w:rsidRPr="00F64C61" w:rsidRDefault="004C7FBB" w:rsidP="00F00B39">
      <w:pPr>
        <w:rPr>
          <w:b/>
        </w:rPr>
      </w:pPr>
    </w:p>
    <w:sectPr w:rsidR="004C7FBB" w:rsidRPr="00F64C61" w:rsidSect="00713A7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CF4" w:rsidRDefault="00516CF4" w:rsidP="005D54F6">
      <w:pPr>
        <w:spacing w:after="0" w:line="240" w:lineRule="auto"/>
      </w:pPr>
      <w:r>
        <w:separator/>
      </w:r>
    </w:p>
  </w:endnote>
  <w:endnote w:type="continuationSeparator" w:id="0">
    <w:p w:rsidR="00516CF4" w:rsidRDefault="00516CF4" w:rsidP="005D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7B3" w:rsidRDefault="007127B3">
    <w:pPr>
      <w:pStyle w:val="Footer"/>
      <w:jc w:val="center"/>
    </w:pPr>
  </w:p>
  <w:p w:rsidR="007127B3" w:rsidRDefault="00712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CF4" w:rsidRDefault="00516CF4" w:rsidP="005D54F6">
      <w:pPr>
        <w:spacing w:after="0" w:line="240" w:lineRule="auto"/>
      </w:pPr>
      <w:r>
        <w:separator/>
      </w:r>
    </w:p>
  </w:footnote>
  <w:footnote w:type="continuationSeparator" w:id="0">
    <w:p w:rsidR="00516CF4" w:rsidRDefault="00516CF4" w:rsidP="005D5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760"/>
      <w:gridCol w:w="1800"/>
    </w:tblGrid>
    <w:tr w:rsidR="007127B3" w:rsidTr="00426C3A">
      <w:tc>
        <w:tcPr>
          <w:tcW w:w="2358" w:type="dxa"/>
        </w:tcPr>
        <w:sdt>
          <w:sdtPr>
            <w:id w:val="-1060858404"/>
            <w:docPartObj>
              <w:docPartGallery w:val="Watermarks"/>
              <w:docPartUnique/>
            </w:docPartObj>
          </w:sdtPr>
          <w:sdtEndPr/>
          <w:sdtContent>
            <w:p w:rsidR="007127B3" w:rsidRDefault="00516CF4" w:rsidP="005D54F6">
              <w:pPr>
                <w:pStyle w:val="Header"/>
                <w:jc w:val="cent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c>
      <w:tc>
        <w:tcPr>
          <w:tcW w:w="5760" w:type="dxa"/>
        </w:tcPr>
        <w:p w:rsidR="007127B3" w:rsidRDefault="007127B3" w:rsidP="00426C3A">
          <w:pPr>
            <w:pStyle w:val="Header"/>
            <w:jc w:val="center"/>
          </w:pPr>
          <w:r>
            <w:t xml:space="preserve">REGULATED INDUSTRIAL PROPERTY ASSESSMENT </w:t>
          </w:r>
        </w:p>
        <w:p w:rsidR="007127B3" w:rsidRDefault="007127B3" w:rsidP="00426C3A">
          <w:pPr>
            <w:pStyle w:val="Header"/>
            <w:jc w:val="center"/>
          </w:pPr>
          <w:r>
            <w:t>MINISTER’S GUIDELINES</w:t>
          </w:r>
        </w:p>
      </w:tc>
      <w:tc>
        <w:tcPr>
          <w:tcW w:w="1800" w:type="dxa"/>
          <w:vAlign w:val="bottom"/>
        </w:tcPr>
        <w:p w:rsidR="007127B3" w:rsidRDefault="007127B3" w:rsidP="00426C3A">
          <w:pPr>
            <w:pStyle w:val="Header"/>
            <w:jc w:val="right"/>
          </w:pPr>
          <w:r>
            <w:t>Draft for Consultation</w:t>
          </w:r>
        </w:p>
      </w:tc>
    </w:tr>
  </w:tbl>
  <w:p w:rsidR="007127B3" w:rsidRDefault="007127B3" w:rsidP="00426C3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7B3" w:rsidRDefault="007127B3" w:rsidP="00426C3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DEE"/>
    <w:multiLevelType w:val="hybridMultilevel"/>
    <w:tmpl w:val="DFF67B92"/>
    <w:lvl w:ilvl="0" w:tplc="2EDE4F94">
      <w:start w:val="1"/>
      <w:numFmt w:val="lowerLetter"/>
      <w:lvlText w:val="(%1)"/>
      <w:lvlJc w:val="left"/>
      <w:pPr>
        <w:ind w:left="2520" w:hanging="360"/>
      </w:pPr>
      <w:rPr>
        <w:rFonts w:hint="default"/>
        <w:b w:val="0"/>
      </w:rPr>
    </w:lvl>
    <w:lvl w:ilvl="1" w:tplc="1009001B">
      <w:start w:val="1"/>
      <w:numFmt w:val="lowerRoman"/>
      <w:lvlText w:val="%2."/>
      <w:lvlJc w:val="righ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nsid w:val="07144464"/>
    <w:multiLevelType w:val="hybridMultilevel"/>
    <w:tmpl w:val="65B081BA"/>
    <w:lvl w:ilvl="0" w:tplc="430C792E">
      <w:start w:val="1"/>
      <w:numFmt w:val="lowerLetter"/>
      <w:lvlText w:val="(%1)"/>
      <w:lvlJc w:val="left"/>
      <w:pPr>
        <w:ind w:left="2520" w:hanging="36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nsid w:val="094A03FF"/>
    <w:multiLevelType w:val="hybridMultilevel"/>
    <w:tmpl w:val="FF6C9998"/>
    <w:lvl w:ilvl="0" w:tplc="1009001B">
      <w:start w:val="1"/>
      <w:numFmt w:val="lowerRoman"/>
      <w:lvlText w:val="%1."/>
      <w:lvlJc w:val="right"/>
      <w:pPr>
        <w:ind w:left="3287" w:hanging="360"/>
      </w:pPr>
    </w:lvl>
    <w:lvl w:ilvl="1" w:tplc="10090019" w:tentative="1">
      <w:start w:val="1"/>
      <w:numFmt w:val="lowerLetter"/>
      <w:lvlText w:val="%2."/>
      <w:lvlJc w:val="left"/>
      <w:pPr>
        <w:ind w:left="4007" w:hanging="360"/>
      </w:pPr>
    </w:lvl>
    <w:lvl w:ilvl="2" w:tplc="1009001B" w:tentative="1">
      <w:start w:val="1"/>
      <w:numFmt w:val="lowerRoman"/>
      <w:lvlText w:val="%3."/>
      <w:lvlJc w:val="right"/>
      <w:pPr>
        <w:ind w:left="4727" w:hanging="180"/>
      </w:pPr>
    </w:lvl>
    <w:lvl w:ilvl="3" w:tplc="1009000F" w:tentative="1">
      <w:start w:val="1"/>
      <w:numFmt w:val="decimal"/>
      <w:lvlText w:val="%4."/>
      <w:lvlJc w:val="left"/>
      <w:pPr>
        <w:ind w:left="5447" w:hanging="360"/>
      </w:pPr>
    </w:lvl>
    <w:lvl w:ilvl="4" w:tplc="10090019" w:tentative="1">
      <w:start w:val="1"/>
      <w:numFmt w:val="lowerLetter"/>
      <w:lvlText w:val="%5."/>
      <w:lvlJc w:val="left"/>
      <w:pPr>
        <w:ind w:left="6167" w:hanging="360"/>
      </w:pPr>
    </w:lvl>
    <w:lvl w:ilvl="5" w:tplc="1009001B" w:tentative="1">
      <w:start w:val="1"/>
      <w:numFmt w:val="lowerRoman"/>
      <w:lvlText w:val="%6."/>
      <w:lvlJc w:val="right"/>
      <w:pPr>
        <w:ind w:left="6887" w:hanging="180"/>
      </w:pPr>
    </w:lvl>
    <w:lvl w:ilvl="6" w:tplc="1009000F" w:tentative="1">
      <w:start w:val="1"/>
      <w:numFmt w:val="decimal"/>
      <w:lvlText w:val="%7."/>
      <w:lvlJc w:val="left"/>
      <w:pPr>
        <w:ind w:left="7607" w:hanging="360"/>
      </w:pPr>
    </w:lvl>
    <w:lvl w:ilvl="7" w:tplc="10090019" w:tentative="1">
      <w:start w:val="1"/>
      <w:numFmt w:val="lowerLetter"/>
      <w:lvlText w:val="%8."/>
      <w:lvlJc w:val="left"/>
      <w:pPr>
        <w:ind w:left="8327" w:hanging="360"/>
      </w:pPr>
    </w:lvl>
    <w:lvl w:ilvl="8" w:tplc="1009001B" w:tentative="1">
      <w:start w:val="1"/>
      <w:numFmt w:val="lowerRoman"/>
      <w:lvlText w:val="%9."/>
      <w:lvlJc w:val="right"/>
      <w:pPr>
        <w:ind w:left="9047" w:hanging="180"/>
      </w:pPr>
    </w:lvl>
  </w:abstractNum>
  <w:abstractNum w:abstractNumId="3">
    <w:nsid w:val="0B002831"/>
    <w:multiLevelType w:val="hybridMultilevel"/>
    <w:tmpl w:val="CABAD25A"/>
    <w:lvl w:ilvl="0" w:tplc="3D18164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
    <w:nsid w:val="0B294AD2"/>
    <w:multiLevelType w:val="hybridMultilevel"/>
    <w:tmpl w:val="1FD808C0"/>
    <w:lvl w:ilvl="0" w:tplc="1009001B">
      <w:start w:val="1"/>
      <w:numFmt w:val="lowerRoman"/>
      <w:lvlText w:val="%1."/>
      <w:lvlJc w:val="right"/>
      <w:pPr>
        <w:ind w:left="3060" w:hanging="360"/>
      </w:pPr>
    </w:lvl>
    <w:lvl w:ilvl="1" w:tplc="10090019" w:tentative="1">
      <w:start w:val="1"/>
      <w:numFmt w:val="lowerLetter"/>
      <w:lvlText w:val="%2."/>
      <w:lvlJc w:val="left"/>
      <w:pPr>
        <w:ind w:left="3780" w:hanging="360"/>
      </w:pPr>
    </w:lvl>
    <w:lvl w:ilvl="2" w:tplc="1009001B" w:tentative="1">
      <w:start w:val="1"/>
      <w:numFmt w:val="lowerRoman"/>
      <w:lvlText w:val="%3."/>
      <w:lvlJc w:val="right"/>
      <w:pPr>
        <w:ind w:left="4500" w:hanging="180"/>
      </w:pPr>
    </w:lvl>
    <w:lvl w:ilvl="3" w:tplc="1009000F" w:tentative="1">
      <w:start w:val="1"/>
      <w:numFmt w:val="decimal"/>
      <w:lvlText w:val="%4."/>
      <w:lvlJc w:val="left"/>
      <w:pPr>
        <w:ind w:left="5220" w:hanging="360"/>
      </w:pPr>
    </w:lvl>
    <w:lvl w:ilvl="4" w:tplc="10090019" w:tentative="1">
      <w:start w:val="1"/>
      <w:numFmt w:val="lowerLetter"/>
      <w:lvlText w:val="%5."/>
      <w:lvlJc w:val="left"/>
      <w:pPr>
        <w:ind w:left="5940" w:hanging="360"/>
      </w:pPr>
    </w:lvl>
    <w:lvl w:ilvl="5" w:tplc="1009001B" w:tentative="1">
      <w:start w:val="1"/>
      <w:numFmt w:val="lowerRoman"/>
      <w:lvlText w:val="%6."/>
      <w:lvlJc w:val="right"/>
      <w:pPr>
        <w:ind w:left="6660" w:hanging="180"/>
      </w:pPr>
    </w:lvl>
    <w:lvl w:ilvl="6" w:tplc="1009000F" w:tentative="1">
      <w:start w:val="1"/>
      <w:numFmt w:val="decimal"/>
      <w:lvlText w:val="%7."/>
      <w:lvlJc w:val="left"/>
      <w:pPr>
        <w:ind w:left="7380" w:hanging="360"/>
      </w:pPr>
    </w:lvl>
    <w:lvl w:ilvl="7" w:tplc="10090019" w:tentative="1">
      <w:start w:val="1"/>
      <w:numFmt w:val="lowerLetter"/>
      <w:lvlText w:val="%8."/>
      <w:lvlJc w:val="left"/>
      <w:pPr>
        <w:ind w:left="8100" w:hanging="360"/>
      </w:pPr>
    </w:lvl>
    <w:lvl w:ilvl="8" w:tplc="1009001B" w:tentative="1">
      <w:start w:val="1"/>
      <w:numFmt w:val="lowerRoman"/>
      <w:lvlText w:val="%9."/>
      <w:lvlJc w:val="right"/>
      <w:pPr>
        <w:ind w:left="8820" w:hanging="180"/>
      </w:pPr>
    </w:lvl>
  </w:abstractNum>
  <w:abstractNum w:abstractNumId="5">
    <w:nsid w:val="0B4457FF"/>
    <w:multiLevelType w:val="hybridMultilevel"/>
    <w:tmpl w:val="5300A2AE"/>
    <w:lvl w:ilvl="0" w:tplc="D3643D7C">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nsid w:val="0BA60727"/>
    <w:multiLevelType w:val="hybridMultilevel"/>
    <w:tmpl w:val="6A22F87E"/>
    <w:lvl w:ilvl="0" w:tplc="BA6072F6">
      <w:start w:val="1"/>
      <w:numFmt w:val="decimal"/>
      <w:lvlText w:val="%1"/>
      <w:lvlJc w:val="left"/>
      <w:pPr>
        <w:ind w:left="1440" w:hanging="720"/>
      </w:pPr>
      <w:rPr>
        <w:rFonts w:hint="default"/>
        <w:b/>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2A21269"/>
    <w:multiLevelType w:val="hybridMultilevel"/>
    <w:tmpl w:val="FF6C9998"/>
    <w:lvl w:ilvl="0" w:tplc="1009001B">
      <w:start w:val="1"/>
      <w:numFmt w:val="lowerRoman"/>
      <w:lvlText w:val="%1."/>
      <w:lvlJc w:val="right"/>
      <w:pPr>
        <w:ind w:left="3287" w:hanging="360"/>
      </w:pPr>
    </w:lvl>
    <w:lvl w:ilvl="1" w:tplc="10090019">
      <w:start w:val="1"/>
      <w:numFmt w:val="lowerLetter"/>
      <w:lvlText w:val="%2."/>
      <w:lvlJc w:val="left"/>
      <w:pPr>
        <w:ind w:left="4007" w:hanging="360"/>
      </w:pPr>
    </w:lvl>
    <w:lvl w:ilvl="2" w:tplc="1009001B" w:tentative="1">
      <w:start w:val="1"/>
      <w:numFmt w:val="lowerRoman"/>
      <w:lvlText w:val="%3."/>
      <w:lvlJc w:val="right"/>
      <w:pPr>
        <w:ind w:left="4727" w:hanging="180"/>
      </w:pPr>
    </w:lvl>
    <w:lvl w:ilvl="3" w:tplc="1009000F" w:tentative="1">
      <w:start w:val="1"/>
      <w:numFmt w:val="decimal"/>
      <w:lvlText w:val="%4."/>
      <w:lvlJc w:val="left"/>
      <w:pPr>
        <w:ind w:left="5447" w:hanging="360"/>
      </w:pPr>
    </w:lvl>
    <w:lvl w:ilvl="4" w:tplc="10090019" w:tentative="1">
      <w:start w:val="1"/>
      <w:numFmt w:val="lowerLetter"/>
      <w:lvlText w:val="%5."/>
      <w:lvlJc w:val="left"/>
      <w:pPr>
        <w:ind w:left="6167" w:hanging="360"/>
      </w:pPr>
    </w:lvl>
    <w:lvl w:ilvl="5" w:tplc="1009001B" w:tentative="1">
      <w:start w:val="1"/>
      <w:numFmt w:val="lowerRoman"/>
      <w:lvlText w:val="%6."/>
      <w:lvlJc w:val="right"/>
      <w:pPr>
        <w:ind w:left="6887" w:hanging="180"/>
      </w:pPr>
    </w:lvl>
    <w:lvl w:ilvl="6" w:tplc="1009000F" w:tentative="1">
      <w:start w:val="1"/>
      <w:numFmt w:val="decimal"/>
      <w:lvlText w:val="%7."/>
      <w:lvlJc w:val="left"/>
      <w:pPr>
        <w:ind w:left="7607" w:hanging="360"/>
      </w:pPr>
    </w:lvl>
    <w:lvl w:ilvl="7" w:tplc="10090019" w:tentative="1">
      <w:start w:val="1"/>
      <w:numFmt w:val="lowerLetter"/>
      <w:lvlText w:val="%8."/>
      <w:lvlJc w:val="left"/>
      <w:pPr>
        <w:ind w:left="8327" w:hanging="360"/>
      </w:pPr>
    </w:lvl>
    <w:lvl w:ilvl="8" w:tplc="1009001B" w:tentative="1">
      <w:start w:val="1"/>
      <w:numFmt w:val="lowerRoman"/>
      <w:lvlText w:val="%9."/>
      <w:lvlJc w:val="right"/>
      <w:pPr>
        <w:ind w:left="9047" w:hanging="180"/>
      </w:pPr>
    </w:lvl>
  </w:abstractNum>
  <w:abstractNum w:abstractNumId="8">
    <w:nsid w:val="17AD77CB"/>
    <w:multiLevelType w:val="hybridMultilevel"/>
    <w:tmpl w:val="F260D15C"/>
    <w:lvl w:ilvl="0" w:tplc="F266B4D0">
      <w:start w:val="1"/>
      <w:numFmt w:val="lowerLetter"/>
      <w:lvlText w:val="(%1)"/>
      <w:lvlJc w:val="left"/>
      <w:pPr>
        <w:ind w:left="25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91D129F"/>
    <w:multiLevelType w:val="hybridMultilevel"/>
    <w:tmpl w:val="0D34FA6A"/>
    <w:lvl w:ilvl="0" w:tplc="F266B4D0">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nsid w:val="19981FD3"/>
    <w:multiLevelType w:val="hybridMultilevel"/>
    <w:tmpl w:val="381E5D12"/>
    <w:lvl w:ilvl="0" w:tplc="1564125A">
      <w:start w:val="1"/>
      <w:numFmt w:val="lowerLetter"/>
      <w:lvlText w:val="(%1)"/>
      <w:lvlJc w:val="left"/>
      <w:pPr>
        <w:ind w:left="2520" w:hanging="360"/>
      </w:pPr>
      <w:rPr>
        <w:rFonts w:hint="default"/>
      </w:rPr>
    </w:lvl>
    <w:lvl w:ilvl="1" w:tplc="1009001B">
      <w:start w:val="1"/>
      <w:numFmt w:val="lowerRoman"/>
      <w:lvlText w:val="%2."/>
      <w:lvlJc w:val="right"/>
      <w:pPr>
        <w:ind w:left="306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
    <w:nsid w:val="1AF02D5D"/>
    <w:multiLevelType w:val="hybridMultilevel"/>
    <w:tmpl w:val="EA74F482"/>
    <w:lvl w:ilvl="0" w:tplc="40B006C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nsid w:val="1B886687"/>
    <w:multiLevelType w:val="hybridMultilevel"/>
    <w:tmpl w:val="FE2A5B0C"/>
    <w:lvl w:ilvl="0" w:tplc="4F8C069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D241D5D"/>
    <w:multiLevelType w:val="hybridMultilevel"/>
    <w:tmpl w:val="0D34FA6A"/>
    <w:lvl w:ilvl="0" w:tplc="F266B4D0">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1D823BCD"/>
    <w:multiLevelType w:val="hybridMultilevel"/>
    <w:tmpl w:val="59EC160A"/>
    <w:lvl w:ilvl="0" w:tplc="F266B4D0">
      <w:start w:val="1"/>
      <w:numFmt w:val="lowerLetter"/>
      <w:lvlText w:val="(%1)"/>
      <w:lvlJc w:val="left"/>
      <w:pPr>
        <w:ind w:left="2250" w:hanging="360"/>
      </w:pPr>
      <w:rPr>
        <w:rFonts w:hint="default"/>
      </w:rPr>
    </w:lvl>
    <w:lvl w:ilvl="1" w:tplc="98BCD844">
      <w:start w:val="1"/>
      <w:numFmt w:val="lowerRoman"/>
      <w:lvlText w:val="(%2)"/>
      <w:lvlJc w:val="left"/>
      <w:pPr>
        <w:ind w:left="3240" w:hanging="360"/>
      </w:pPr>
      <w:rPr>
        <w:rFonts w:hint="default"/>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2B35822"/>
    <w:multiLevelType w:val="hybridMultilevel"/>
    <w:tmpl w:val="0D34FA6A"/>
    <w:lvl w:ilvl="0" w:tplc="F266B4D0">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nsid w:val="276A4408"/>
    <w:multiLevelType w:val="hybridMultilevel"/>
    <w:tmpl w:val="0D34FA6A"/>
    <w:lvl w:ilvl="0" w:tplc="F266B4D0">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7">
    <w:nsid w:val="2A4F5490"/>
    <w:multiLevelType w:val="hybridMultilevel"/>
    <w:tmpl w:val="BE2C1D64"/>
    <w:lvl w:ilvl="0" w:tplc="30C8AFE6">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nsid w:val="2AE269B7"/>
    <w:multiLevelType w:val="hybridMultilevel"/>
    <w:tmpl w:val="4BD4559C"/>
    <w:lvl w:ilvl="0" w:tplc="1564125A">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9">
    <w:nsid w:val="33981B09"/>
    <w:multiLevelType w:val="hybridMultilevel"/>
    <w:tmpl w:val="7494EDF2"/>
    <w:lvl w:ilvl="0" w:tplc="D6003A86">
      <w:start w:val="1"/>
      <w:numFmt w:val="lowerRoman"/>
      <w:lvlText w:val="(%1)"/>
      <w:lvlJc w:val="left"/>
      <w:pPr>
        <w:ind w:left="3600" w:hanging="72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0">
    <w:nsid w:val="3854201E"/>
    <w:multiLevelType w:val="hybridMultilevel"/>
    <w:tmpl w:val="E40C42D8"/>
    <w:lvl w:ilvl="0" w:tplc="3D18164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1">
    <w:nsid w:val="394311DC"/>
    <w:multiLevelType w:val="hybridMultilevel"/>
    <w:tmpl w:val="DF3A6F1A"/>
    <w:lvl w:ilvl="0" w:tplc="AB4AB7FC">
      <w:start w:val="1"/>
      <w:numFmt w:val="lowerLetter"/>
      <w:lvlText w:val="(%1)"/>
      <w:lvlJc w:val="left"/>
      <w:pPr>
        <w:ind w:left="2520" w:hanging="360"/>
      </w:pPr>
      <w:rPr>
        <w:rFonts w:hint="default"/>
        <w:b/>
        <w:u w:val="no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nsid w:val="43282974"/>
    <w:multiLevelType w:val="hybridMultilevel"/>
    <w:tmpl w:val="893C4A1E"/>
    <w:lvl w:ilvl="0" w:tplc="C70E1D54">
      <w:start w:val="1"/>
      <w:numFmt w:val="lowerLetter"/>
      <w:lvlText w:val="(%1)"/>
      <w:lvlJc w:val="left"/>
      <w:pPr>
        <w:ind w:left="2520" w:hanging="360"/>
      </w:pPr>
      <w:rPr>
        <w:rFonts w:hint="default"/>
        <w:color w:val="auto"/>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3">
    <w:nsid w:val="44B80F78"/>
    <w:multiLevelType w:val="hybridMultilevel"/>
    <w:tmpl w:val="3E8CFB40"/>
    <w:lvl w:ilvl="0" w:tplc="40B006C4">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nsid w:val="4C9960A0"/>
    <w:multiLevelType w:val="hybridMultilevel"/>
    <w:tmpl w:val="D93E97B6"/>
    <w:lvl w:ilvl="0" w:tplc="8E68B5E6">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5">
    <w:nsid w:val="53437B3F"/>
    <w:multiLevelType w:val="hybridMultilevel"/>
    <w:tmpl w:val="5300A2AE"/>
    <w:lvl w:ilvl="0" w:tplc="D3643D7C">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6">
    <w:nsid w:val="555E50D7"/>
    <w:multiLevelType w:val="hybridMultilevel"/>
    <w:tmpl w:val="EA74F482"/>
    <w:lvl w:ilvl="0" w:tplc="40B006C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7">
    <w:nsid w:val="56276D8C"/>
    <w:multiLevelType w:val="hybridMultilevel"/>
    <w:tmpl w:val="3B72E4EC"/>
    <w:lvl w:ilvl="0" w:tplc="42CCD83E">
      <w:start w:val="1"/>
      <w:numFmt w:val="lowerLetter"/>
      <w:lvlText w:val="(%1)"/>
      <w:lvlJc w:val="left"/>
      <w:pPr>
        <w:ind w:left="2520" w:hanging="360"/>
      </w:pPr>
      <w:rPr>
        <w:rFonts w:hint="default"/>
        <w:u w:val="none"/>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8">
    <w:nsid w:val="5B2E37D2"/>
    <w:multiLevelType w:val="hybridMultilevel"/>
    <w:tmpl w:val="E38E6C2C"/>
    <w:lvl w:ilvl="0" w:tplc="F266B4D0">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9">
    <w:nsid w:val="5B895847"/>
    <w:multiLevelType w:val="hybridMultilevel"/>
    <w:tmpl w:val="EA74F482"/>
    <w:lvl w:ilvl="0" w:tplc="40B006C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0">
    <w:nsid w:val="5C863C09"/>
    <w:multiLevelType w:val="hybridMultilevel"/>
    <w:tmpl w:val="FF08A14E"/>
    <w:lvl w:ilvl="0" w:tplc="B9403E2E">
      <w:start w:val="2"/>
      <w:numFmt w:val="decimal"/>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nsid w:val="648F14DD"/>
    <w:multiLevelType w:val="hybridMultilevel"/>
    <w:tmpl w:val="496664A6"/>
    <w:lvl w:ilvl="0" w:tplc="1564125A">
      <w:start w:val="1"/>
      <w:numFmt w:val="lowerLetter"/>
      <w:lvlText w:val="(%1)"/>
      <w:lvlJc w:val="left"/>
      <w:pPr>
        <w:ind w:left="2520" w:hanging="360"/>
      </w:pPr>
      <w:rPr>
        <w:rFonts w:hint="default"/>
      </w:rPr>
    </w:lvl>
    <w:lvl w:ilvl="1" w:tplc="1009001B">
      <w:start w:val="1"/>
      <w:numFmt w:val="lowerRoman"/>
      <w:lvlText w:val="%2."/>
      <w:lvlJc w:val="right"/>
      <w:pPr>
        <w:ind w:left="306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nsid w:val="65425C93"/>
    <w:multiLevelType w:val="hybridMultilevel"/>
    <w:tmpl w:val="4BD4559C"/>
    <w:lvl w:ilvl="0" w:tplc="1564125A">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3">
    <w:nsid w:val="6C751BC6"/>
    <w:multiLevelType w:val="hybridMultilevel"/>
    <w:tmpl w:val="0FE0894E"/>
    <w:lvl w:ilvl="0" w:tplc="3D18164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4">
    <w:nsid w:val="6CC21B35"/>
    <w:multiLevelType w:val="hybridMultilevel"/>
    <w:tmpl w:val="4BD4559C"/>
    <w:lvl w:ilvl="0" w:tplc="1564125A">
      <w:start w:val="1"/>
      <w:numFmt w:val="lowerLetter"/>
      <w:lvlText w:val="(%1)"/>
      <w:lvlJc w:val="left"/>
      <w:pPr>
        <w:ind w:left="5220" w:hanging="360"/>
      </w:pPr>
      <w:rPr>
        <w:rFonts w:hint="default"/>
      </w:rPr>
    </w:lvl>
    <w:lvl w:ilvl="1" w:tplc="10090019" w:tentative="1">
      <w:start w:val="1"/>
      <w:numFmt w:val="lowerLetter"/>
      <w:lvlText w:val="%2."/>
      <w:lvlJc w:val="left"/>
      <w:pPr>
        <w:ind w:left="5940" w:hanging="360"/>
      </w:pPr>
    </w:lvl>
    <w:lvl w:ilvl="2" w:tplc="1009001B" w:tentative="1">
      <w:start w:val="1"/>
      <w:numFmt w:val="lowerRoman"/>
      <w:lvlText w:val="%3."/>
      <w:lvlJc w:val="right"/>
      <w:pPr>
        <w:ind w:left="6660" w:hanging="180"/>
      </w:pPr>
    </w:lvl>
    <w:lvl w:ilvl="3" w:tplc="1009000F" w:tentative="1">
      <w:start w:val="1"/>
      <w:numFmt w:val="decimal"/>
      <w:lvlText w:val="%4."/>
      <w:lvlJc w:val="left"/>
      <w:pPr>
        <w:ind w:left="7380" w:hanging="360"/>
      </w:pPr>
    </w:lvl>
    <w:lvl w:ilvl="4" w:tplc="10090019" w:tentative="1">
      <w:start w:val="1"/>
      <w:numFmt w:val="lowerLetter"/>
      <w:lvlText w:val="%5."/>
      <w:lvlJc w:val="left"/>
      <w:pPr>
        <w:ind w:left="8100" w:hanging="360"/>
      </w:pPr>
    </w:lvl>
    <w:lvl w:ilvl="5" w:tplc="1009001B" w:tentative="1">
      <w:start w:val="1"/>
      <w:numFmt w:val="lowerRoman"/>
      <w:lvlText w:val="%6."/>
      <w:lvlJc w:val="right"/>
      <w:pPr>
        <w:ind w:left="8820" w:hanging="180"/>
      </w:pPr>
    </w:lvl>
    <w:lvl w:ilvl="6" w:tplc="1009000F" w:tentative="1">
      <w:start w:val="1"/>
      <w:numFmt w:val="decimal"/>
      <w:lvlText w:val="%7."/>
      <w:lvlJc w:val="left"/>
      <w:pPr>
        <w:ind w:left="9540" w:hanging="360"/>
      </w:pPr>
    </w:lvl>
    <w:lvl w:ilvl="7" w:tplc="10090019" w:tentative="1">
      <w:start w:val="1"/>
      <w:numFmt w:val="lowerLetter"/>
      <w:lvlText w:val="%8."/>
      <w:lvlJc w:val="left"/>
      <w:pPr>
        <w:ind w:left="10260" w:hanging="360"/>
      </w:pPr>
    </w:lvl>
    <w:lvl w:ilvl="8" w:tplc="1009001B" w:tentative="1">
      <w:start w:val="1"/>
      <w:numFmt w:val="lowerRoman"/>
      <w:lvlText w:val="%9."/>
      <w:lvlJc w:val="right"/>
      <w:pPr>
        <w:ind w:left="10980" w:hanging="180"/>
      </w:pPr>
    </w:lvl>
  </w:abstractNum>
  <w:abstractNum w:abstractNumId="35">
    <w:nsid w:val="704319CD"/>
    <w:multiLevelType w:val="hybridMultilevel"/>
    <w:tmpl w:val="4CB4E32C"/>
    <w:lvl w:ilvl="0" w:tplc="2C3EC7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25E462B"/>
    <w:multiLevelType w:val="hybridMultilevel"/>
    <w:tmpl w:val="EA74F482"/>
    <w:lvl w:ilvl="0" w:tplc="40B006C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7">
    <w:nsid w:val="73CC303C"/>
    <w:multiLevelType w:val="hybridMultilevel"/>
    <w:tmpl w:val="1B2234C4"/>
    <w:lvl w:ilvl="0" w:tplc="D1FEBC1C">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8">
    <w:nsid w:val="75B0389D"/>
    <w:multiLevelType w:val="multilevel"/>
    <w:tmpl w:val="30D4A896"/>
    <w:lvl w:ilvl="0">
      <w:start w:val="8"/>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7A416424"/>
    <w:multiLevelType w:val="hybridMultilevel"/>
    <w:tmpl w:val="59EC160A"/>
    <w:lvl w:ilvl="0" w:tplc="F266B4D0">
      <w:start w:val="1"/>
      <w:numFmt w:val="lowerLetter"/>
      <w:lvlText w:val="(%1)"/>
      <w:lvlJc w:val="left"/>
      <w:pPr>
        <w:ind w:left="2250" w:hanging="360"/>
      </w:pPr>
      <w:rPr>
        <w:rFonts w:hint="default"/>
      </w:rPr>
    </w:lvl>
    <w:lvl w:ilvl="1" w:tplc="98BCD844">
      <w:start w:val="1"/>
      <w:numFmt w:val="lowerRoman"/>
      <w:lvlText w:val="(%2)"/>
      <w:lvlJc w:val="left"/>
      <w:pPr>
        <w:ind w:left="3240" w:hanging="360"/>
      </w:pPr>
      <w:rPr>
        <w:rFonts w:hint="default"/>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abstractNumId w:val="14"/>
  </w:num>
  <w:num w:numId="2">
    <w:abstractNumId w:val="32"/>
  </w:num>
  <w:num w:numId="3">
    <w:abstractNumId w:val="34"/>
  </w:num>
  <w:num w:numId="4">
    <w:abstractNumId w:val="18"/>
  </w:num>
  <w:num w:numId="5">
    <w:abstractNumId w:val="22"/>
  </w:num>
  <w:num w:numId="6">
    <w:abstractNumId w:val="31"/>
  </w:num>
  <w:num w:numId="7">
    <w:abstractNumId w:val="4"/>
  </w:num>
  <w:num w:numId="8">
    <w:abstractNumId w:val="2"/>
  </w:num>
  <w:num w:numId="9">
    <w:abstractNumId w:val="10"/>
  </w:num>
  <w:num w:numId="10">
    <w:abstractNumId w:val="7"/>
  </w:num>
  <w:num w:numId="11">
    <w:abstractNumId w:val="0"/>
  </w:num>
  <w:num w:numId="12">
    <w:abstractNumId w:val="6"/>
  </w:num>
  <w:num w:numId="13">
    <w:abstractNumId w:val="13"/>
  </w:num>
  <w:num w:numId="14">
    <w:abstractNumId w:val="15"/>
  </w:num>
  <w:num w:numId="15">
    <w:abstractNumId w:val="28"/>
  </w:num>
  <w:num w:numId="16">
    <w:abstractNumId w:val="8"/>
  </w:num>
  <w:num w:numId="17">
    <w:abstractNumId w:val="11"/>
  </w:num>
  <w:num w:numId="18">
    <w:abstractNumId w:val="21"/>
  </w:num>
  <w:num w:numId="19">
    <w:abstractNumId w:val="23"/>
  </w:num>
  <w:num w:numId="20">
    <w:abstractNumId w:val="1"/>
  </w:num>
  <w:num w:numId="21">
    <w:abstractNumId w:val="27"/>
  </w:num>
  <w:num w:numId="22">
    <w:abstractNumId w:val="36"/>
  </w:num>
  <w:num w:numId="23">
    <w:abstractNumId w:val="19"/>
  </w:num>
  <w:num w:numId="24">
    <w:abstractNumId w:val="33"/>
  </w:num>
  <w:num w:numId="25">
    <w:abstractNumId w:val="37"/>
  </w:num>
  <w:num w:numId="26">
    <w:abstractNumId w:val="20"/>
  </w:num>
  <w:num w:numId="27">
    <w:abstractNumId w:val="3"/>
  </w:num>
  <w:num w:numId="28">
    <w:abstractNumId w:val="5"/>
  </w:num>
  <w:num w:numId="29">
    <w:abstractNumId w:val="38"/>
  </w:num>
  <w:num w:numId="30">
    <w:abstractNumId w:val="24"/>
  </w:num>
  <w:num w:numId="31">
    <w:abstractNumId w:val="26"/>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0"/>
  </w:num>
  <w:num w:numId="36">
    <w:abstractNumId w:val="35"/>
  </w:num>
  <w:num w:numId="37">
    <w:abstractNumId w:val="29"/>
  </w:num>
  <w:num w:numId="38">
    <w:abstractNumId w:val="9"/>
  </w:num>
  <w:num w:numId="39">
    <w:abstractNumId w:val="16"/>
  </w:num>
  <w:num w:numId="40">
    <w:abstractNumId w:val="12"/>
  </w:num>
  <w:num w:numId="41">
    <w:abstractNumId w:val="3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37"/>
    <w:rsid w:val="00000FEC"/>
    <w:rsid w:val="0000168E"/>
    <w:rsid w:val="00003130"/>
    <w:rsid w:val="000034A7"/>
    <w:rsid w:val="000058BE"/>
    <w:rsid w:val="00007839"/>
    <w:rsid w:val="000078F4"/>
    <w:rsid w:val="00011E94"/>
    <w:rsid w:val="00012A09"/>
    <w:rsid w:val="0001357E"/>
    <w:rsid w:val="0002070B"/>
    <w:rsid w:val="00022EAC"/>
    <w:rsid w:val="00022F0B"/>
    <w:rsid w:val="00023080"/>
    <w:rsid w:val="00024F65"/>
    <w:rsid w:val="000255D9"/>
    <w:rsid w:val="000269AF"/>
    <w:rsid w:val="00027B01"/>
    <w:rsid w:val="00030B12"/>
    <w:rsid w:val="00031408"/>
    <w:rsid w:val="00031412"/>
    <w:rsid w:val="00035657"/>
    <w:rsid w:val="00035676"/>
    <w:rsid w:val="0004014C"/>
    <w:rsid w:val="00040189"/>
    <w:rsid w:val="000413B1"/>
    <w:rsid w:val="0004249E"/>
    <w:rsid w:val="00042685"/>
    <w:rsid w:val="000434F7"/>
    <w:rsid w:val="00043654"/>
    <w:rsid w:val="00043E1E"/>
    <w:rsid w:val="000469D2"/>
    <w:rsid w:val="000524A5"/>
    <w:rsid w:val="000528DF"/>
    <w:rsid w:val="00052ED5"/>
    <w:rsid w:val="000537EB"/>
    <w:rsid w:val="00053A31"/>
    <w:rsid w:val="00054EBE"/>
    <w:rsid w:val="00054FE1"/>
    <w:rsid w:val="0005528A"/>
    <w:rsid w:val="00055BD8"/>
    <w:rsid w:val="00055BDE"/>
    <w:rsid w:val="00056B65"/>
    <w:rsid w:val="00057512"/>
    <w:rsid w:val="00057CB1"/>
    <w:rsid w:val="00057EB5"/>
    <w:rsid w:val="0006382C"/>
    <w:rsid w:val="00064D8D"/>
    <w:rsid w:val="00065B13"/>
    <w:rsid w:val="0006643E"/>
    <w:rsid w:val="00066C84"/>
    <w:rsid w:val="0007021C"/>
    <w:rsid w:val="00072405"/>
    <w:rsid w:val="0007253F"/>
    <w:rsid w:val="00072687"/>
    <w:rsid w:val="00072DD1"/>
    <w:rsid w:val="00075732"/>
    <w:rsid w:val="00076595"/>
    <w:rsid w:val="00076606"/>
    <w:rsid w:val="0007687C"/>
    <w:rsid w:val="00077748"/>
    <w:rsid w:val="0008032A"/>
    <w:rsid w:val="000803B8"/>
    <w:rsid w:val="000807BF"/>
    <w:rsid w:val="00082746"/>
    <w:rsid w:val="00082BFB"/>
    <w:rsid w:val="00083594"/>
    <w:rsid w:val="0008391E"/>
    <w:rsid w:val="00083CE5"/>
    <w:rsid w:val="00087A11"/>
    <w:rsid w:val="0009029E"/>
    <w:rsid w:val="000915CB"/>
    <w:rsid w:val="00091B58"/>
    <w:rsid w:val="00091D34"/>
    <w:rsid w:val="00091DCE"/>
    <w:rsid w:val="00093658"/>
    <w:rsid w:val="0009402C"/>
    <w:rsid w:val="00095228"/>
    <w:rsid w:val="00095BA4"/>
    <w:rsid w:val="00096833"/>
    <w:rsid w:val="00097A24"/>
    <w:rsid w:val="00097C96"/>
    <w:rsid w:val="000A1E0B"/>
    <w:rsid w:val="000A49AF"/>
    <w:rsid w:val="000A645E"/>
    <w:rsid w:val="000B1A1A"/>
    <w:rsid w:val="000B2134"/>
    <w:rsid w:val="000B2BDB"/>
    <w:rsid w:val="000B4E32"/>
    <w:rsid w:val="000B5CF5"/>
    <w:rsid w:val="000B6D4C"/>
    <w:rsid w:val="000C17A0"/>
    <w:rsid w:val="000C1D30"/>
    <w:rsid w:val="000C2610"/>
    <w:rsid w:val="000C4AA6"/>
    <w:rsid w:val="000C5503"/>
    <w:rsid w:val="000C64DB"/>
    <w:rsid w:val="000C6B6D"/>
    <w:rsid w:val="000C6DF8"/>
    <w:rsid w:val="000C6E4E"/>
    <w:rsid w:val="000C7041"/>
    <w:rsid w:val="000C740B"/>
    <w:rsid w:val="000C78AC"/>
    <w:rsid w:val="000C78DA"/>
    <w:rsid w:val="000D0761"/>
    <w:rsid w:val="000D1982"/>
    <w:rsid w:val="000D19F5"/>
    <w:rsid w:val="000D3FC0"/>
    <w:rsid w:val="000D58BE"/>
    <w:rsid w:val="000D5D13"/>
    <w:rsid w:val="000D5F58"/>
    <w:rsid w:val="000D6016"/>
    <w:rsid w:val="000D6691"/>
    <w:rsid w:val="000D6C2A"/>
    <w:rsid w:val="000D6D3A"/>
    <w:rsid w:val="000E0DDD"/>
    <w:rsid w:val="000E655F"/>
    <w:rsid w:val="000E714C"/>
    <w:rsid w:val="000E75CE"/>
    <w:rsid w:val="000F0048"/>
    <w:rsid w:val="000F12A5"/>
    <w:rsid w:val="000F2012"/>
    <w:rsid w:val="000F2651"/>
    <w:rsid w:val="000F437A"/>
    <w:rsid w:val="000F4D8C"/>
    <w:rsid w:val="000F531D"/>
    <w:rsid w:val="000F5CC1"/>
    <w:rsid w:val="000F6A06"/>
    <w:rsid w:val="000F75FA"/>
    <w:rsid w:val="001005D4"/>
    <w:rsid w:val="00101B0E"/>
    <w:rsid w:val="00102F3F"/>
    <w:rsid w:val="00104134"/>
    <w:rsid w:val="00104A29"/>
    <w:rsid w:val="001050F5"/>
    <w:rsid w:val="00105369"/>
    <w:rsid w:val="00105B37"/>
    <w:rsid w:val="001063A3"/>
    <w:rsid w:val="001069C6"/>
    <w:rsid w:val="00106ABF"/>
    <w:rsid w:val="0010705B"/>
    <w:rsid w:val="00107888"/>
    <w:rsid w:val="00107EC0"/>
    <w:rsid w:val="00113B27"/>
    <w:rsid w:val="00113C44"/>
    <w:rsid w:val="0011404A"/>
    <w:rsid w:val="001175A2"/>
    <w:rsid w:val="0012080B"/>
    <w:rsid w:val="0012337A"/>
    <w:rsid w:val="00123467"/>
    <w:rsid w:val="00123779"/>
    <w:rsid w:val="001262B4"/>
    <w:rsid w:val="00127CE7"/>
    <w:rsid w:val="001326E1"/>
    <w:rsid w:val="00134757"/>
    <w:rsid w:val="001362E9"/>
    <w:rsid w:val="001362F5"/>
    <w:rsid w:val="00136DE6"/>
    <w:rsid w:val="00136E59"/>
    <w:rsid w:val="00140528"/>
    <w:rsid w:val="00140CA3"/>
    <w:rsid w:val="00140DB0"/>
    <w:rsid w:val="0014106F"/>
    <w:rsid w:val="00143B47"/>
    <w:rsid w:val="00144611"/>
    <w:rsid w:val="00144F2D"/>
    <w:rsid w:val="00145689"/>
    <w:rsid w:val="001469E9"/>
    <w:rsid w:val="001475CC"/>
    <w:rsid w:val="00150E68"/>
    <w:rsid w:val="00151370"/>
    <w:rsid w:val="00151E0B"/>
    <w:rsid w:val="0015249C"/>
    <w:rsid w:val="00152B35"/>
    <w:rsid w:val="001534FC"/>
    <w:rsid w:val="001565F5"/>
    <w:rsid w:val="00156DCF"/>
    <w:rsid w:val="001573A7"/>
    <w:rsid w:val="001604DF"/>
    <w:rsid w:val="00160CAF"/>
    <w:rsid w:val="001612E0"/>
    <w:rsid w:val="0016359C"/>
    <w:rsid w:val="00166FBC"/>
    <w:rsid w:val="00167024"/>
    <w:rsid w:val="001670D4"/>
    <w:rsid w:val="00170F07"/>
    <w:rsid w:val="00172318"/>
    <w:rsid w:val="00177E13"/>
    <w:rsid w:val="00181A72"/>
    <w:rsid w:val="00184E2A"/>
    <w:rsid w:val="001857D1"/>
    <w:rsid w:val="00187D01"/>
    <w:rsid w:val="0019002A"/>
    <w:rsid w:val="001907FE"/>
    <w:rsid w:val="0019161B"/>
    <w:rsid w:val="001916FF"/>
    <w:rsid w:val="0019206C"/>
    <w:rsid w:val="0019235C"/>
    <w:rsid w:val="00193463"/>
    <w:rsid w:val="00194EB0"/>
    <w:rsid w:val="00196FC8"/>
    <w:rsid w:val="001A1EA1"/>
    <w:rsid w:val="001A347C"/>
    <w:rsid w:val="001A5C9C"/>
    <w:rsid w:val="001A6BD9"/>
    <w:rsid w:val="001B0417"/>
    <w:rsid w:val="001B141C"/>
    <w:rsid w:val="001B3694"/>
    <w:rsid w:val="001B5E06"/>
    <w:rsid w:val="001B5F4A"/>
    <w:rsid w:val="001B6A7D"/>
    <w:rsid w:val="001B7C8D"/>
    <w:rsid w:val="001C01AC"/>
    <w:rsid w:val="001C0949"/>
    <w:rsid w:val="001C0BA2"/>
    <w:rsid w:val="001C0D2E"/>
    <w:rsid w:val="001C1158"/>
    <w:rsid w:val="001C12A7"/>
    <w:rsid w:val="001C132E"/>
    <w:rsid w:val="001C1A13"/>
    <w:rsid w:val="001C1BD9"/>
    <w:rsid w:val="001C251F"/>
    <w:rsid w:val="001C2811"/>
    <w:rsid w:val="001C308E"/>
    <w:rsid w:val="001C4ACE"/>
    <w:rsid w:val="001C5BF1"/>
    <w:rsid w:val="001C6863"/>
    <w:rsid w:val="001C6976"/>
    <w:rsid w:val="001C6C3D"/>
    <w:rsid w:val="001C6CF5"/>
    <w:rsid w:val="001D1A97"/>
    <w:rsid w:val="001D1C19"/>
    <w:rsid w:val="001D1F23"/>
    <w:rsid w:val="001D2362"/>
    <w:rsid w:val="001D2770"/>
    <w:rsid w:val="001D51E7"/>
    <w:rsid w:val="001D53EB"/>
    <w:rsid w:val="001D5EEB"/>
    <w:rsid w:val="001D6F6F"/>
    <w:rsid w:val="001E2CB5"/>
    <w:rsid w:val="001E473B"/>
    <w:rsid w:val="001E4B21"/>
    <w:rsid w:val="001E5DB2"/>
    <w:rsid w:val="001E6A67"/>
    <w:rsid w:val="001E75B9"/>
    <w:rsid w:val="001F07C3"/>
    <w:rsid w:val="001F0B1F"/>
    <w:rsid w:val="001F30F1"/>
    <w:rsid w:val="001F3855"/>
    <w:rsid w:val="001F4A15"/>
    <w:rsid w:val="001F52F3"/>
    <w:rsid w:val="001F5A1E"/>
    <w:rsid w:val="001F5DE0"/>
    <w:rsid w:val="00200DB3"/>
    <w:rsid w:val="00203E0E"/>
    <w:rsid w:val="00204030"/>
    <w:rsid w:val="002040F7"/>
    <w:rsid w:val="002057AC"/>
    <w:rsid w:val="0020585B"/>
    <w:rsid w:val="00211594"/>
    <w:rsid w:val="002127E8"/>
    <w:rsid w:val="00213FA3"/>
    <w:rsid w:val="00214CDD"/>
    <w:rsid w:val="002159C3"/>
    <w:rsid w:val="00215A6B"/>
    <w:rsid w:val="0021720A"/>
    <w:rsid w:val="00217498"/>
    <w:rsid w:val="00217B2C"/>
    <w:rsid w:val="0022158F"/>
    <w:rsid w:val="00223827"/>
    <w:rsid w:val="00225DA0"/>
    <w:rsid w:val="00226602"/>
    <w:rsid w:val="00226A5E"/>
    <w:rsid w:val="00227B4C"/>
    <w:rsid w:val="002304E4"/>
    <w:rsid w:val="002306FC"/>
    <w:rsid w:val="00231DC9"/>
    <w:rsid w:val="002329AF"/>
    <w:rsid w:val="00236349"/>
    <w:rsid w:val="00236B3E"/>
    <w:rsid w:val="00237FEE"/>
    <w:rsid w:val="00242BBC"/>
    <w:rsid w:val="00244240"/>
    <w:rsid w:val="002472AE"/>
    <w:rsid w:val="002479F6"/>
    <w:rsid w:val="00247B0F"/>
    <w:rsid w:val="00250C99"/>
    <w:rsid w:val="00253B88"/>
    <w:rsid w:val="00253D43"/>
    <w:rsid w:val="00254419"/>
    <w:rsid w:val="002549EF"/>
    <w:rsid w:val="00254BDE"/>
    <w:rsid w:val="00255428"/>
    <w:rsid w:val="00255869"/>
    <w:rsid w:val="0025642B"/>
    <w:rsid w:val="00260979"/>
    <w:rsid w:val="0026130E"/>
    <w:rsid w:val="00261E60"/>
    <w:rsid w:val="00262541"/>
    <w:rsid w:val="00262945"/>
    <w:rsid w:val="00265523"/>
    <w:rsid w:val="00265B2A"/>
    <w:rsid w:val="00265F3E"/>
    <w:rsid w:val="00266F2E"/>
    <w:rsid w:val="00267E8A"/>
    <w:rsid w:val="002702BA"/>
    <w:rsid w:val="0027254D"/>
    <w:rsid w:val="002728CB"/>
    <w:rsid w:val="002735DC"/>
    <w:rsid w:val="00273FDA"/>
    <w:rsid w:val="00274B47"/>
    <w:rsid w:val="002769BE"/>
    <w:rsid w:val="00276F96"/>
    <w:rsid w:val="00281A6A"/>
    <w:rsid w:val="002827A4"/>
    <w:rsid w:val="00282BE7"/>
    <w:rsid w:val="00284212"/>
    <w:rsid w:val="0028432F"/>
    <w:rsid w:val="00284B9B"/>
    <w:rsid w:val="00287824"/>
    <w:rsid w:val="00290ECC"/>
    <w:rsid w:val="00293AEB"/>
    <w:rsid w:val="00293E43"/>
    <w:rsid w:val="0029524B"/>
    <w:rsid w:val="00295636"/>
    <w:rsid w:val="00295724"/>
    <w:rsid w:val="00296556"/>
    <w:rsid w:val="00297461"/>
    <w:rsid w:val="002A029E"/>
    <w:rsid w:val="002A2165"/>
    <w:rsid w:val="002A2C54"/>
    <w:rsid w:val="002A3969"/>
    <w:rsid w:val="002A4C9D"/>
    <w:rsid w:val="002A50A3"/>
    <w:rsid w:val="002A52C8"/>
    <w:rsid w:val="002A5809"/>
    <w:rsid w:val="002A7E57"/>
    <w:rsid w:val="002A7E8E"/>
    <w:rsid w:val="002B1261"/>
    <w:rsid w:val="002B1826"/>
    <w:rsid w:val="002B21E0"/>
    <w:rsid w:val="002B3611"/>
    <w:rsid w:val="002B57AC"/>
    <w:rsid w:val="002B59FE"/>
    <w:rsid w:val="002B6512"/>
    <w:rsid w:val="002B6675"/>
    <w:rsid w:val="002B6A95"/>
    <w:rsid w:val="002B77ED"/>
    <w:rsid w:val="002C0083"/>
    <w:rsid w:val="002C0C42"/>
    <w:rsid w:val="002C12B9"/>
    <w:rsid w:val="002C1D09"/>
    <w:rsid w:val="002C3057"/>
    <w:rsid w:val="002C3245"/>
    <w:rsid w:val="002C4A96"/>
    <w:rsid w:val="002C6211"/>
    <w:rsid w:val="002C6439"/>
    <w:rsid w:val="002D01B9"/>
    <w:rsid w:val="002D2022"/>
    <w:rsid w:val="002D2D48"/>
    <w:rsid w:val="002D2F36"/>
    <w:rsid w:val="002D3468"/>
    <w:rsid w:val="002D36CB"/>
    <w:rsid w:val="002D36E0"/>
    <w:rsid w:val="002D6A74"/>
    <w:rsid w:val="002D6DD5"/>
    <w:rsid w:val="002D72CE"/>
    <w:rsid w:val="002D7AEE"/>
    <w:rsid w:val="002D7BF9"/>
    <w:rsid w:val="002E09A0"/>
    <w:rsid w:val="002E1825"/>
    <w:rsid w:val="002E40F4"/>
    <w:rsid w:val="002E4ED2"/>
    <w:rsid w:val="002F0C89"/>
    <w:rsid w:val="002F0EF5"/>
    <w:rsid w:val="002F1168"/>
    <w:rsid w:val="002F22AD"/>
    <w:rsid w:val="002F316F"/>
    <w:rsid w:val="002F3475"/>
    <w:rsid w:val="002F356F"/>
    <w:rsid w:val="002F3CA3"/>
    <w:rsid w:val="002F4543"/>
    <w:rsid w:val="002F5B84"/>
    <w:rsid w:val="002F6866"/>
    <w:rsid w:val="002F75F8"/>
    <w:rsid w:val="00300858"/>
    <w:rsid w:val="00300E99"/>
    <w:rsid w:val="00303964"/>
    <w:rsid w:val="00304105"/>
    <w:rsid w:val="003045ED"/>
    <w:rsid w:val="00305561"/>
    <w:rsid w:val="00305F86"/>
    <w:rsid w:val="00307595"/>
    <w:rsid w:val="0031090F"/>
    <w:rsid w:val="00312CDE"/>
    <w:rsid w:val="00312DEA"/>
    <w:rsid w:val="003138E3"/>
    <w:rsid w:val="00313C5A"/>
    <w:rsid w:val="003140CC"/>
    <w:rsid w:val="003142D9"/>
    <w:rsid w:val="003143BD"/>
    <w:rsid w:val="00314CF7"/>
    <w:rsid w:val="00314FFC"/>
    <w:rsid w:val="00316697"/>
    <w:rsid w:val="00316ABA"/>
    <w:rsid w:val="00322759"/>
    <w:rsid w:val="00322D0C"/>
    <w:rsid w:val="003231A0"/>
    <w:rsid w:val="00323935"/>
    <w:rsid w:val="0032537B"/>
    <w:rsid w:val="00326079"/>
    <w:rsid w:val="00326211"/>
    <w:rsid w:val="00326EC2"/>
    <w:rsid w:val="003311A0"/>
    <w:rsid w:val="003323A4"/>
    <w:rsid w:val="0033302C"/>
    <w:rsid w:val="00333233"/>
    <w:rsid w:val="003345D7"/>
    <w:rsid w:val="00334E79"/>
    <w:rsid w:val="00334EFB"/>
    <w:rsid w:val="003363FE"/>
    <w:rsid w:val="00342967"/>
    <w:rsid w:val="0034355F"/>
    <w:rsid w:val="00343675"/>
    <w:rsid w:val="003449BD"/>
    <w:rsid w:val="00345628"/>
    <w:rsid w:val="00346A19"/>
    <w:rsid w:val="00346F75"/>
    <w:rsid w:val="00347A45"/>
    <w:rsid w:val="00347A94"/>
    <w:rsid w:val="0035093F"/>
    <w:rsid w:val="00350C04"/>
    <w:rsid w:val="00350FC0"/>
    <w:rsid w:val="0035221C"/>
    <w:rsid w:val="003524F0"/>
    <w:rsid w:val="003533EE"/>
    <w:rsid w:val="003607ED"/>
    <w:rsid w:val="00361B9E"/>
    <w:rsid w:val="003622AA"/>
    <w:rsid w:val="003627F5"/>
    <w:rsid w:val="00363088"/>
    <w:rsid w:val="00371E5D"/>
    <w:rsid w:val="0037388A"/>
    <w:rsid w:val="00373ADC"/>
    <w:rsid w:val="00374569"/>
    <w:rsid w:val="00375ECB"/>
    <w:rsid w:val="003775C2"/>
    <w:rsid w:val="00377B26"/>
    <w:rsid w:val="00380C96"/>
    <w:rsid w:val="00381BC8"/>
    <w:rsid w:val="003821B2"/>
    <w:rsid w:val="003823BD"/>
    <w:rsid w:val="003831D2"/>
    <w:rsid w:val="00384878"/>
    <w:rsid w:val="00386272"/>
    <w:rsid w:val="003877BB"/>
    <w:rsid w:val="00391803"/>
    <w:rsid w:val="003922FA"/>
    <w:rsid w:val="00392779"/>
    <w:rsid w:val="00393859"/>
    <w:rsid w:val="003944C2"/>
    <w:rsid w:val="00394D9D"/>
    <w:rsid w:val="00395D50"/>
    <w:rsid w:val="003A0A00"/>
    <w:rsid w:val="003A14A1"/>
    <w:rsid w:val="003A213C"/>
    <w:rsid w:val="003A2584"/>
    <w:rsid w:val="003A271A"/>
    <w:rsid w:val="003A2752"/>
    <w:rsid w:val="003A3117"/>
    <w:rsid w:val="003A4E07"/>
    <w:rsid w:val="003A5333"/>
    <w:rsid w:val="003A5CCC"/>
    <w:rsid w:val="003A6EFE"/>
    <w:rsid w:val="003A72CA"/>
    <w:rsid w:val="003B078D"/>
    <w:rsid w:val="003B07B0"/>
    <w:rsid w:val="003B0EED"/>
    <w:rsid w:val="003B1DB9"/>
    <w:rsid w:val="003B2307"/>
    <w:rsid w:val="003B6C5A"/>
    <w:rsid w:val="003C19D0"/>
    <w:rsid w:val="003C3B7A"/>
    <w:rsid w:val="003C5072"/>
    <w:rsid w:val="003C52CC"/>
    <w:rsid w:val="003C6BBF"/>
    <w:rsid w:val="003C6F1A"/>
    <w:rsid w:val="003D14DB"/>
    <w:rsid w:val="003D15CA"/>
    <w:rsid w:val="003D34F5"/>
    <w:rsid w:val="003D3855"/>
    <w:rsid w:val="003D38F1"/>
    <w:rsid w:val="003D3ACB"/>
    <w:rsid w:val="003D3B4E"/>
    <w:rsid w:val="003D3BFF"/>
    <w:rsid w:val="003D3FD9"/>
    <w:rsid w:val="003D4E8C"/>
    <w:rsid w:val="003D507F"/>
    <w:rsid w:val="003D588D"/>
    <w:rsid w:val="003D6FB4"/>
    <w:rsid w:val="003E0E33"/>
    <w:rsid w:val="003E4342"/>
    <w:rsid w:val="003E4880"/>
    <w:rsid w:val="003E5678"/>
    <w:rsid w:val="003E5E36"/>
    <w:rsid w:val="003E66C4"/>
    <w:rsid w:val="003E7FB8"/>
    <w:rsid w:val="003F07F3"/>
    <w:rsid w:val="003F2345"/>
    <w:rsid w:val="003F2727"/>
    <w:rsid w:val="003F455F"/>
    <w:rsid w:val="003F4984"/>
    <w:rsid w:val="003F66B1"/>
    <w:rsid w:val="003F6A67"/>
    <w:rsid w:val="003F6F70"/>
    <w:rsid w:val="00400D75"/>
    <w:rsid w:val="00401E45"/>
    <w:rsid w:val="004020A3"/>
    <w:rsid w:val="00402137"/>
    <w:rsid w:val="00402B61"/>
    <w:rsid w:val="00403241"/>
    <w:rsid w:val="00403B7F"/>
    <w:rsid w:val="00406303"/>
    <w:rsid w:val="00407024"/>
    <w:rsid w:val="00411353"/>
    <w:rsid w:val="00412A5B"/>
    <w:rsid w:val="00413223"/>
    <w:rsid w:val="00413A69"/>
    <w:rsid w:val="00413FF5"/>
    <w:rsid w:val="00414D8D"/>
    <w:rsid w:val="00415CBC"/>
    <w:rsid w:val="00417F5D"/>
    <w:rsid w:val="00420BAF"/>
    <w:rsid w:val="00421367"/>
    <w:rsid w:val="004252C6"/>
    <w:rsid w:val="00426C3A"/>
    <w:rsid w:val="004339F9"/>
    <w:rsid w:val="00434155"/>
    <w:rsid w:val="0043487E"/>
    <w:rsid w:val="0043556C"/>
    <w:rsid w:val="004364B7"/>
    <w:rsid w:val="004374CB"/>
    <w:rsid w:val="0043752C"/>
    <w:rsid w:val="004375D2"/>
    <w:rsid w:val="00440B50"/>
    <w:rsid w:val="00440DD9"/>
    <w:rsid w:val="0044165B"/>
    <w:rsid w:val="004416A8"/>
    <w:rsid w:val="004439B2"/>
    <w:rsid w:val="00444399"/>
    <w:rsid w:val="00444C40"/>
    <w:rsid w:val="004458C9"/>
    <w:rsid w:val="004476EC"/>
    <w:rsid w:val="00447BD9"/>
    <w:rsid w:val="00450FF8"/>
    <w:rsid w:val="0045307D"/>
    <w:rsid w:val="00453B0E"/>
    <w:rsid w:val="00454E58"/>
    <w:rsid w:val="00457863"/>
    <w:rsid w:val="00457F9C"/>
    <w:rsid w:val="00460FA9"/>
    <w:rsid w:val="00461310"/>
    <w:rsid w:val="00461662"/>
    <w:rsid w:val="004622B8"/>
    <w:rsid w:val="00463C5D"/>
    <w:rsid w:val="0046436F"/>
    <w:rsid w:val="0046616C"/>
    <w:rsid w:val="00466E50"/>
    <w:rsid w:val="00467045"/>
    <w:rsid w:val="004700DA"/>
    <w:rsid w:val="0047145D"/>
    <w:rsid w:val="004716F4"/>
    <w:rsid w:val="00474607"/>
    <w:rsid w:val="00474773"/>
    <w:rsid w:val="00475E63"/>
    <w:rsid w:val="004765F6"/>
    <w:rsid w:val="00477400"/>
    <w:rsid w:val="00480E59"/>
    <w:rsid w:val="00480FDC"/>
    <w:rsid w:val="00481423"/>
    <w:rsid w:val="0048203F"/>
    <w:rsid w:val="00482B47"/>
    <w:rsid w:val="00482C21"/>
    <w:rsid w:val="00485FEF"/>
    <w:rsid w:val="0048771B"/>
    <w:rsid w:val="0049262F"/>
    <w:rsid w:val="00496F2B"/>
    <w:rsid w:val="004972E6"/>
    <w:rsid w:val="00497FDC"/>
    <w:rsid w:val="004A0530"/>
    <w:rsid w:val="004A0562"/>
    <w:rsid w:val="004A05A8"/>
    <w:rsid w:val="004A05F8"/>
    <w:rsid w:val="004A165F"/>
    <w:rsid w:val="004A16CC"/>
    <w:rsid w:val="004A313B"/>
    <w:rsid w:val="004A331F"/>
    <w:rsid w:val="004A3BB8"/>
    <w:rsid w:val="004A55AF"/>
    <w:rsid w:val="004B0399"/>
    <w:rsid w:val="004B070C"/>
    <w:rsid w:val="004B2ACC"/>
    <w:rsid w:val="004B2B40"/>
    <w:rsid w:val="004B54FD"/>
    <w:rsid w:val="004B6567"/>
    <w:rsid w:val="004C06C3"/>
    <w:rsid w:val="004C2959"/>
    <w:rsid w:val="004C2A59"/>
    <w:rsid w:val="004C475F"/>
    <w:rsid w:val="004C4F40"/>
    <w:rsid w:val="004C5D5C"/>
    <w:rsid w:val="004C7FBB"/>
    <w:rsid w:val="004D072F"/>
    <w:rsid w:val="004D1350"/>
    <w:rsid w:val="004D22C0"/>
    <w:rsid w:val="004D2A43"/>
    <w:rsid w:val="004D2D5E"/>
    <w:rsid w:val="004D466E"/>
    <w:rsid w:val="004D495A"/>
    <w:rsid w:val="004D49D9"/>
    <w:rsid w:val="004D4AB2"/>
    <w:rsid w:val="004D5862"/>
    <w:rsid w:val="004D6F32"/>
    <w:rsid w:val="004D7A4D"/>
    <w:rsid w:val="004E4DAA"/>
    <w:rsid w:val="004E634F"/>
    <w:rsid w:val="004E77C8"/>
    <w:rsid w:val="004F1165"/>
    <w:rsid w:val="004F1B19"/>
    <w:rsid w:val="004F1B93"/>
    <w:rsid w:val="004F22EE"/>
    <w:rsid w:val="004F356C"/>
    <w:rsid w:val="004F3C18"/>
    <w:rsid w:val="004F3E82"/>
    <w:rsid w:val="004F3FA9"/>
    <w:rsid w:val="004F4599"/>
    <w:rsid w:val="004F7B26"/>
    <w:rsid w:val="00500604"/>
    <w:rsid w:val="00500C90"/>
    <w:rsid w:val="00500F42"/>
    <w:rsid w:val="005021D3"/>
    <w:rsid w:val="00502D60"/>
    <w:rsid w:val="00502D97"/>
    <w:rsid w:val="00503609"/>
    <w:rsid w:val="005043E4"/>
    <w:rsid w:val="0050550C"/>
    <w:rsid w:val="00506579"/>
    <w:rsid w:val="00507482"/>
    <w:rsid w:val="00513E5D"/>
    <w:rsid w:val="00514EE9"/>
    <w:rsid w:val="0051539E"/>
    <w:rsid w:val="00516CF4"/>
    <w:rsid w:val="005207ED"/>
    <w:rsid w:val="00520D6A"/>
    <w:rsid w:val="00520E8F"/>
    <w:rsid w:val="005257DE"/>
    <w:rsid w:val="00525E5F"/>
    <w:rsid w:val="0052792B"/>
    <w:rsid w:val="0053047F"/>
    <w:rsid w:val="0053080A"/>
    <w:rsid w:val="0053341A"/>
    <w:rsid w:val="00534E57"/>
    <w:rsid w:val="0053632F"/>
    <w:rsid w:val="00536739"/>
    <w:rsid w:val="00536997"/>
    <w:rsid w:val="00537FCB"/>
    <w:rsid w:val="0054058E"/>
    <w:rsid w:val="00542532"/>
    <w:rsid w:val="00543714"/>
    <w:rsid w:val="0054536D"/>
    <w:rsid w:val="00545EA8"/>
    <w:rsid w:val="00547352"/>
    <w:rsid w:val="00547B06"/>
    <w:rsid w:val="00547E1B"/>
    <w:rsid w:val="00550739"/>
    <w:rsid w:val="00551EC0"/>
    <w:rsid w:val="00552B00"/>
    <w:rsid w:val="00553BE0"/>
    <w:rsid w:val="00553C09"/>
    <w:rsid w:val="00554498"/>
    <w:rsid w:val="005549C0"/>
    <w:rsid w:val="00555480"/>
    <w:rsid w:val="00555507"/>
    <w:rsid w:val="005567B4"/>
    <w:rsid w:val="0055755B"/>
    <w:rsid w:val="005579EB"/>
    <w:rsid w:val="00560E61"/>
    <w:rsid w:val="005614E2"/>
    <w:rsid w:val="005616CD"/>
    <w:rsid w:val="005616D2"/>
    <w:rsid w:val="00565DC9"/>
    <w:rsid w:val="00567B3C"/>
    <w:rsid w:val="005702E9"/>
    <w:rsid w:val="00570C0F"/>
    <w:rsid w:val="00571BD9"/>
    <w:rsid w:val="00572035"/>
    <w:rsid w:val="0057466E"/>
    <w:rsid w:val="0057570C"/>
    <w:rsid w:val="00575D07"/>
    <w:rsid w:val="005768FC"/>
    <w:rsid w:val="00580125"/>
    <w:rsid w:val="00583EFF"/>
    <w:rsid w:val="00584DB1"/>
    <w:rsid w:val="0058524C"/>
    <w:rsid w:val="005863C8"/>
    <w:rsid w:val="00586D9A"/>
    <w:rsid w:val="005872A3"/>
    <w:rsid w:val="005876C3"/>
    <w:rsid w:val="005902E4"/>
    <w:rsid w:val="00590404"/>
    <w:rsid w:val="005930C6"/>
    <w:rsid w:val="005942D4"/>
    <w:rsid w:val="00594805"/>
    <w:rsid w:val="00595A43"/>
    <w:rsid w:val="005963E9"/>
    <w:rsid w:val="00596648"/>
    <w:rsid w:val="005967BD"/>
    <w:rsid w:val="00597239"/>
    <w:rsid w:val="00597900"/>
    <w:rsid w:val="005A01A4"/>
    <w:rsid w:val="005A18F3"/>
    <w:rsid w:val="005A2662"/>
    <w:rsid w:val="005A346A"/>
    <w:rsid w:val="005B143E"/>
    <w:rsid w:val="005B14DA"/>
    <w:rsid w:val="005B2EDD"/>
    <w:rsid w:val="005B45E0"/>
    <w:rsid w:val="005B4625"/>
    <w:rsid w:val="005C0836"/>
    <w:rsid w:val="005C20E7"/>
    <w:rsid w:val="005C2585"/>
    <w:rsid w:val="005C29A6"/>
    <w:rsid w:val="005C330E"/>
    <w:rsid w:val="005C3451"/>
    <w:rsid w:val="005C46ED"/>
    <w:rsid w:val="005C4B9C"/>
    <w:rsid w:val="005C79B8"/>
    <w:rsid w:val="005D0597"/>
    <w:rsid w:val="005D1BA6"/>
    <w:rsid w:val="005D1BE4"/>
    <w:rsid w:val="005D2D71"/>
    <w:rsid w:val="005D54F6"/>
    <w:rsid w:val="005D66C9"/>
    <w:rsid w:val="005D7088"/>
    <w:rsid w:val="005E2BA8"/>
    <w:rsid w:val="005E3D8F"/>
    <w:rsid w:val="005E3DE1"/>
    <w:rsid w:val="005E4AB4"/>
    <w:rsid w:val="005E6DCF"/>
    <w:rsid w:val="005E7569"/>
    <w:rsid w:val="005F13F9"/>
    <w:rsid w:val="005F19AE"/>
    <w:rsid w:val="005F2AE6"/>
    <w:rsid w:val="005F3214"/>
    <w:rsid w:val="005F3895"/>
    <w:rsid w:val="005F4247"/>
    <w:rsid w:val="005F5607"/>
    <w:rsid w:val="005F6B31"/>
    <w:rsid w:val="006001C9"/>
    <w:rsid w:val="00603210"/>
    <w:rsid w:val="00603D8E"/>
    <w:rsid w:val="00611C08"/>
    <w:rsid w:val="00612259"/>
    <w:rsid w:val="006123BC"/>
    <w:rsid w:val="00612646"/>
    <w:rsid w:val="00612DE2"/>
    <w:rsid w:val="00613691"/>
    <w:rsid w:val="00614E11"/>
    <w:rsid w:val="006163A0"/>
    <w:rsid w:val="006209FF"/>
    <w:rsid w:val="00621C02"/>
    <w:rsid w:val="006222D0"/>
    <w:rsid w:val="006238CD"/>
    <w:rsid w:val="0062406A"/>
    <w:rsid w:val="00631EAD"/>
    <w:rsid w:val="006341F4"/>
    <w:rsid w:val="00634D44"/>
    <w:rsid w:val="00635B27"/>
    <w:rsid w:val="00640E3E"/>
    <w:rsid w:val="00641FBB"/>
    <w:rsid w:val="0064251D"/>
    <w:rsid w:val="006429FE"/>
    <w:rsid w:val="00644DD4"/>
    <w:rsid w:val="0064787C"/>
    <w:rsid w:val="00647E61"/>
    <w:rsid w:val="00651F2C"/>
    <w:rsid w:val="00654458"/>
    <w:rsid w:val="006602E4"/>
    <w:rsid w:val="006606F2"/>
    <w:rsid w:val="006608A8"/>
    <w:rsid w:val="006609AF"/>
    <w:rsid w:val="006623A6"/>
    <w:rsid w:val="006623AB"/>
    <w:rsid w:val="00663EAB"/>
    <w:rsid w:val="00665F1B"/>
    <w:rsid w:val="006670DB"/>
    <w:rsid w:val="006675CE"/>
    <w:rsid w:val="0067238B"/>
    <w:rsid w:val="006737FE"/>
    <w:rsid w:val="00673FB3"/>
    <w:rsid w:val="00676862"/>
    <w:rsid w:val="00676B8D"/>
    <w:rsid w:val="00677529"/>
    <w:rsid w:val="00677572"/>
    <w:rsid w:val="00677A37"/>
    <w:rsid w:val="00677C3F"/>
    <w:rsid w:val="006820E5"/>
    <w:rsid w:val="0068306E"/>
    <w:rsid w:val="006842B7"/>
    <w:rsid w:val="0068489F"/>
    <w:rsid w:val="00684F1C"/>
    <w:rsid w:val="0068533F"/>
    <w:rsid w:val="00685A49"/>
    <w:rsid w:val="00690CD9"/>
    <w:rsid w:val="00692199"/>
    <w:rsid w:val="006921FA"/>
    <w:rsid w:val="00692688"/>
    <w:rsid w:val="0069639B"/>
    <w:rsid w:val="0069666B"/>
    <w:rsid w:val="00697313"/>
    <w:rsid w:val="00697323"/>
    <w:rsid w:val="00697FA3"/>
    <w:rsid w:val="006A0D1C"/>
    <w:rsid w:val="006A42BC"/>
    <w:rsid w:val="006A6303"/>
    <w:rsid w:val="006A6607"/>
    <w:rsid w:val="006A677A"/>
    <w:rsid w:val="006B0F73"/>
    <w:rsid w:val="006B13CE"/>
    <w:rsid w:val="006B2F73"/>
    <w:rsid w:val="006B3BE7"/>
    <w:rsid w:val="006B4954"/>
    <w:rsid w:val="006B67F0"/>
    <w:rsid w:val="006C1896"/>
    <w:rsid w:val="006C4D92"/>
    <w:rsid w:val="006C4FB4"/>
    <w:rsid w:val="006C55E3"/>
    <w:rsid w:val="006D2008"/>
    <w:rsid w:val="006D21DA"/>
    <w:rsid w:val="006D252E"/>
    <w:rsid w:val="006D26FE"/>
    <w:rsid w:val="006D379F"/>
    <w:rsid w:val="006D404F"/>
    <w:rsid w:val="006D47D8"/>
    <w:rsid w:val="006D6572"/>
    <w:rsid w:val="006D6FA2"/>
    <w:rsid w:val="006D74B9"/>
    <w:rsid w:val="006D7D7A"/>
    <w:rsid w:val="006E169E"/>
    <w:rsid w:val="006E2CBD"/>
    <w:rsid w:val="006E3C5E"/>
    <w:rsid w:val="006E61BC"/>
    <w:rsid w:val="006F032B"/>
    <w:rsid w:val="006F1D45"/>
    <w:rsid w:val="006F4D62"/>
    <w:rsid w:val="006F671E"/>
    <w:rsid w:val="006F6824"/>
    <w:rsid w:val="00700F8A"/>
    <w:rsid w:val="007075E2"/>
    <w:rsid w:val="00710B23"/>
    <w:rsid w:val="007127B3"/>
    <w:rsid w:val="00713A70"/>
    <w:rsid w:val="007155F9"/>
    <w:rsid w:val="00716CBF"/>
    <w:rsid w:val="007173D7"/>
    <w:rsid w:val="0071746B"/>
    <w:rsid w:val="00721F60"/>
    <w:rsid w:val="00722959"/>
    <w:rsid w:val="007238A8"/>
    <w:rsid w:val="007247B8"/>
    <w:rsid w:val="007254B6"/>
    <w:rsid w:val="00725900"/>
    <w:rsid w:val="00725F2B"/>
    <w:rsid w:val="00726C43"/>
    <w:rsid w:val="00731342"/>
    <w:rsid w:val="00731E28"/>
    <w:rsid w:val="0073495C"/>
    <w:rsid w:val="00735093"/>
    <w:rsid w:val="00735838"/>
    <w:rsid w:val="0073684E"/>
    <w:rsid w:val="00737672"/>
    <w:rsid w:val="00737D71"/>
    <w:rsid w:val="00740149"/>
    <w:rsid w:val="00742E92"/>
    <w:rsid w:val="0074480E"/>
    <w:rsid w:val="00746F41"/>
    <w:rsid w:val="00750895"/>
    <w:rsid w:val="00750954"/>
    <w:rsid w:val="00750F1B"/>
    <w:rsid w:val="0075141A"/>
    <w:rsid w:val="0075213B"/>
    <w:rsid w:val="00752795"/>
    <w:rsid w:val="00754043"/>
    <w:rsid w:val="007546EE"/>
    <w:rsid w:val="007554E9"/>
    <w:rsid w:val="00757720"/>
    <w:rsid w:val="00761C32"/>
    <w:rsid w:val="00762071"/>
    <w:rsid w:val="00762491"/>
    <w:rsid w:val="00762DF0"/>
    <w:rsid w:val="00762F75"/>
    <w:rsid w:val="00762F96"/>
    <w:rsid w:val="00764006"/>
    <w:rsid w:val="00765626"/>
    <w:rsid w:val="00765CA9"/>
    <w:rsid w:val="007716F2"/>
    <w:rsid w:val="00771EC6"/>
    <w:rsid w:val="007730CF"/>
    <w:rsid w:val="00773A68"/>
    <w:rsid w:val="0077440E"/>
    <w:rsid w:val="00774E6C"/>
    <w:rsid w:val="007755B2"/>
    <w:rsid w:val="00776A9D"/>
    <w:rsid w:val="00776EB1"/>
    <w:rsid w:val="00777354"/>
    <w:rsid w:val="007778AD"/>
    <w:rsid w:val="00777FDF"/>
    <w:rsid w:val="00780010"/>
    <w:rsid w:val="007816C6"/>
    <w:rsid w:val="00782B7D"/>
    <w:rsid w:val="00785520"/>
    <w:rsid w:val="00785606"/>
    <w:rsid w:val="00786134"/>
    <w:rsid w:val="007909BA"/>
    <w:rsid w:val="00791EC6"/>
    <w:rsid w:val="007926CB"/>
    <w:rsid w:val="00793593"/>
    <w:rsid w:val="0079401E"/>
    <w:rsid w:val="007953F3"/>
    <w:rsid w:val="007960E7"/>
    <w:rsid w:val="007970CE"/>
    <w:rsid w:val="00797408"/>
    <w:rsid w:val="00797622"/>
    <w:rsid w:val="007A0DAE"/>
    <w:rsid w:val="007A1120"/>
    <w:rsid w:val="007A19EF"/>
    <w:rsid w:val="007A2A63"/>
    <w:rsid w:val="007A2B6B"/>
    <w:rsid w:val="007A2EF7"/>
    <w:rsid w:val="007A30B1"/>
    <w:rsid w:val="007A3172"/>
    <w:rsid w:val="007A45A4"/>
    <w:rsid w:val="007A6704"/>
    <w:rsid w:val="007B01D8"/>
    <w:rsid w:val="007B0634"/>
    <w:rsid w:val="007B5DD1"/>
    <w:rsid w:val="007B6BF0"/>
    <w:rsid w:val="007B7CCE"/>
    <w:rsid w:val="007C0C20"/>
    <w:rsid w:val="007C24C0"/>
    <w:rsid w:val="007C2CB9"/>
    <w:rsid w:val="007C346F"/>
    <w:rsid w:val="007D00BC"/>
    <w:rsid w:val="007D2B68"/>
    <w:rsid w:val="007D2E44"/>
    <w:rsid w:val="007D392A"/>
    <w:rsid w:val="007D3E2D"/>
    <w:rsid w:val="007D4867"/>
    <w:rsid w:val="007D52EA"/>
    <w:rsid w:val="007D53A9"/>
    <w:rsid w:val="007D56F3"/>
    <w:rsid w:val="007D6049"/>
    <w:rsid w:val="007E2454"/>
    <w:rsid w:val="007E2C22"/>
    <w:rsid w:val="007E6298"/>
    <w:rsid w:val="007E7AA8"/>
    <w:rsid w:val="007F08E5"/>
    <w:rsid w:val="00802E73"/>
    <w:rsid w:val="00804BFF"/>
    <w:rsid w:val="008050C7"/>
    <w:rsid w:val="008051EB"/>
    <w:rsid w:val="00805479"/>
    <w:rsid w:val="0080566E"/>
    <w:rsid w:val="00805F36"/>
    <w:rsid w:val="00806B9C"/>
    <w:rsid w:val="00811371"/>
    <w:rsid w:val="00811EE2"/>
    <w:rsid w:val="00812487"/>
    <w:rsid w:val="00812D12"/>
    <w:rsid w:val="00813BC1"/>
    <w:rsid w:val="00813C62"/>
    <w:rsid w:val="00813D31"/>
    <w:rsid w:val="0081457D"/>
    <w:rsid w:val="00814EA2"/>
    <w:rsid w:val="0082161B"/>
    <w:rsid w:val="00821963"/>
    <w:rsid w:val="00822CAB"/>
    <w:rsid w:val="00827E5F"/>
    <w:rsid w:val="00831DCB"/>
    <w:rsid w:val="00831EED"/>
    <w:rsid w:val="00833E83"/>
    <w:rsid w:val="008354A4"/>
    <w:rsid w:val="008359F7"/>
    <w:rsid w:val="00835E3E"/>
    <w:rsid w:val="00837231"/>
    <w:rsid w:val="00837508"/>
    <w:rsid w:val="00841069"/>
    <w:rsid w:val="00841B31"/>
    <w:rsid w:val="00842185"/>
    <w:rsid w:val="008429CE"/>
    <w:rsid w:val="00845912"/>
    <w:rsid w:val="0084647A"/>
    <w:rsid w:val="00846628"/>
    <w:rsid w:val="00846B62"/>
    <w:rsid w:val="00846E03"/>
    <w:rsid w:val="00846E8B"/>
    <w:rsid w:val="008472C3"/>
    <w:rsid w:val="00850514"/>
    <w:rsid w:val="008528BC"/>
    <w:rsid w:val="00852AD2"/>
    <w:rsid w:val="008531FB"/>
    <w:rsid w:val="00853E5F"/>
    <w:rsid w:val="00854186"/>
    <w:rsid w:val="00854515"/>
    <w:rsid w:val="00856B69"/>
    <w:rsid w:val="00856D07"/>
    <w:rsid w:val="008571E4"/>
    <w:rsid w:val="0085732D"/>
    <w:rsid w:val="00857CF9"/>
    <w:rsid w:val="00857F52"/>
    <w:rsid w:val="008601B3"/>
    <w:rsid w:val="008607D6"/>
    <w:rsid w:val="008617FD"/>
    <w:rsid w:val="00861E0C"/>
    <w:rsid w:val="008629F1"/>
    <w:rsid w:val="0086445F"/>
    <w:rsid w:val="0086454B"/>
    <w:rsid w:val="00866833"/>
    <w:rsid w:val="00866B48"/>
    <w:rsid w:val="00867912"/>
    <w:rsid w:val="00872068"/>
    <w:rsid w:val="00874A90"/>
    <w:rsid w:val="008756B7"/>
    <w:rsid w:val="00876FDA"/>
    <w:rsid w:val="008778CA"/>
    <w:rsid w:val="0088014B"/>
    <w:rsid w:val="00880B81"/>
    <w:rsid w:val="00880CA0"/>
    <w:rsid w:val="00880D4C"/>
    <w:rsid w:val="00881C3E"/>
    <w:rsid w:val="00881DC3"/>
    <w:rsid w:val="00882376"/>
    <w:rsid w:val="008832A8"/>
    <w:rsid w:val="00884033"/>
    <w:rsid w:val="008858C4"/>
    <w:rsid w:val="00885D17"/>
    <w:rsid w:val="008869E1"/>
    <w:rsid w:val="00886C4F"/>
    <w:rsid w:val="00887027"/>
    <w:rsid w:val="00887042"/>
    <w:rsid w:val="00887CE6"/>
    <w:rsid w:val="008903B9"/>
    <w:rsid w:val="00890A37"/>
    <w:rsid w:val="00890E70"/>
    <w:rsid w:val="008925A0"/>
    <w:rsid w:val="00893031"/>
    <w:rsid w:val="008961D5"/>
    <w:rsid w:val="008965CA"/>
    <w:rsid w:val="00897572"/>
    <w:rsid w:val="008A0376"/>
    <w:rsid w:val="008A1DB8"/>
    <w:rsid w:val="008A2E2A"/>
    <w:rsid w:val="008A3394"/>
    <w:rsid w:val="008A4509"/>
    <w:rsid w:val="008A5703"/>
    <w:rsid w:val="008A610A"/>
    <w:rsid w:val="008A6A26"/>
    <w:rsid w:val="008A7182"/>
    <w:rsid w:val="008A7DB6"/>
    <w:rsid w:val="008B03C1"/>
    <w:rsid w:val="008B15C2"/>
    <w:rsid w:val="008B2060"/>
    <w:rsid w:val="008B3F7E"/>
    <w:rsid w:val="008B423C"/>
    <w:rsid w:val="008B54B2"/>
    <w:rsid w:val="008B57CB"/>
    <w:rsid w:val="008B6C01"/>
    <w:rsid w:val="008C2F01"/>
    <w:rsid w:val="008C38F7"/>
    <w:rsid w:val="008C3E56"/>
    <w:rsid w:val="008C5100"/>
    <w:rsid w:val="008C5731"/>
    <w:rsid w:val="008C67B0"/>
    <w:rsid w:val="008D2FFC"/>
    <w:rsid w:val="008D4128"/>
    <w:rsid w:val="008D4473"/>
    <w:rsid w:val="008D49B0"/>
    <w:rsid w:val="008D4ED2"/>
    <w:rsid w:val="008D6A9E"/>
    <w:rsid w:val="008E0C61"/>
    <w:rsid w:val="008E1818"/>
    <w:rsid w:val="008E60A8"/>
    <w:rsid w:val="008E6385"/>
    <w:rsid w:val="008E6700"/>
    <w:rsid w:val="008F1EC9"/>
    <w:rsid w:val="008F1F5E"/>
    <w:rsid w:val="008F31DE"/>
    <w:rsid w:val="008F598A"/>
    <w:rsid w:val="008F6885"/>
    <w:rsid w:val="008F6DAA"/>
    <w:rsid w:val="008F7183"/>
    <w:rsid w:val="00900C34"/>
    <w:rsid w:val="0090452F"/>
    <w:rsid w:val="00906BC8"/>
    <w:rsid w:val="00910732"/>
    <w:rsid w:val="0091354B"/>
    <w:rsid w:val="00916E63"/>
    <w:rsid w:val="009201C6"/>
    <w:rsid w:val="0092081F"/>
    <w:rsid w:val="0092098E"/>
    <w:rsid w:val="00920F37"/>
    <w:rsid w:val="009218AB"/>
    <w:rsid w:val="009223A3"/>
    <w:rsid w:val="009231BD"/>
    <w:rsid w:val="00923D38"/>
    <w:rsid w:val="009243F9"/>
    <w:rsid w:val="00925900"/>
    <w:rsid w:val="00930D10"/>
    <w:rsid w:val="00931E33"/>
    <w:rsid w:val="009328D9"/>
    <w:rsid w:val="00932C1E"/>
    <w:rsid w:val="00935C2B"/>
    <w:rsid w:val="00936ADE"/>
    <w:rsid w:val="009418DD"/>
    <w:rsid w:val="00941C26"/>
    <w:rsid w:val="00942B6E"/>
    <w:rsid w:val="00943970"/>
    <w:rsid w:val="00945736"/>
    <w:rsid w:val="00945EC7"/>
    <w:rsid w:val="00946626"/>
    <w:rsid w:val="009473DA"/>
    <w:rsid w:val="00951AE7"/>
    <w:rsid w:val="00951B66"/>
    <w:rsid w:val="009535E3"/>
    <w:rsid w:val="009546B5"/>
    <w:rsid w:val="009548DC"/>
    <w:rsid w:val="009551AD"/>
    <w:rsid w:val="00956317"/>
    <w:rsid w:val="00956909"/>
    <w:rsid w:val="00956B4F"/>
    <w:rsid w:val="00956C4C"/>
    <w:rsid w:val="00956CCD"/>
    <w:rsid w:val="00957801"/>
    <w:rsid w:val="009613BB"/>
    <w:rsid w:val="00961F8D"/>
    <w:rsid w:val="00963112"/>
    <w:rsid w:val="00963346"/>
    <w:rsid w:val="0096488D"/>
    <w:rsid w:val="0096552F"/>
    <w:rsid w:val="00970AB4"/>
    <w:rsid w:val="00971690"/>
    <w:rsid w:val="00972DAC"/>
    <w:rsid w:val="00974CE9"/>
    <w:rsid w:val="009773E6"/>
    <w:rsid w:val="00980DEC"/>
    <w:rsid w:val="00981265"/>
    <w:rsid w:val="0098184C"/>
    <w:rsid w:val="0098270D"/>
    <w:rsid w:val="00984220"/>
    <w:rsid w:val="00984744"/>
    <w:rsid w:val="0098539D"/>
    <w:rsid w:val="00985A2A"/>
    <w:rsid w:val="0098740D"/>
    <w:rsid w:val="00987F18"/>
    <w:rsid w:val="00990101"/>
    <w:rsid w:val="00990BDE"/>
    <w:rsid w:val="00991BB3"/>
    <w:rsid w:val="0099209D"/>
    <w:rsid w:val="009927B6"/>
    <w:rsid w:val="00992C03"/>
    <w:rsid w:val="00992C6E"/>
    <w:rsid w:val="00992C7C"/>
    <w:rsid w:val="00995D19"/>
    <w:rsid w:val="00996F3D"/>
    <w:rsid w:val="009A034C"/>
    <w:rsid w:val="009A104A"/>
    <w:rsid w:val="009A326B"/>
    <w:rsid w:val="009A50C6"/>
    <w:rsid w:val="009A69FB"/>
    <w:rsid w:val="009B127E"/>
    <w:rsid w:val="009B2AE5"/>
    <w:rsid w:val="009B2EEB"/>
    <w:rsid w:val="009B4855"/>
    <w:rsid w:val="009B7994"/>
    <w:rsid w:val="009C3962"/>
    <w:rsid w:val="009C431C"/>
    <w:rsid w:val="009C5695"/>
    <w:rsid w:val="009C56CF"/>
    <w:rsid w:val="009C5B0C"/>
    <w:rsid w:val="009C6D9E"/>
    <w:rsid w:val="009C7BC9"/>
    <w:rsid w:val="009D22A6"/>
    <w:rsid w:val="009D3E25"/>
    <w:rsid w:val="009D5D97"/>
    <w:rsid w:val="009D65CE"/>
    <w:rsid w:val="009D719D"/>
    <w:rsid w:val="009D78FA"/>
    <w:rsid w:val="009D793D"/>
    <w:rsid w:val="009E0C16"/>
    <w:rsid w:val="009E451B"/>
    <w:rsid w:val="009E47C0"/>
    <w:rsid w:val="009E538C"/>
    <w:rsid w:val="009E6861"/>
    <w:rsid w:val="009F0DEE"/>
    <w:rsid w:val="009F1138"/>
    <w:rsid w:val="009F2A3C"/>
    <w:rsid w:val="009F3398"/>
    <w:rsid w:val="009F449B"/>
    <w:rsid w:val="009F4661"/>
    <w:rsid w:val="009F4B9A"/>
    <w:rsid w:val="009F7579"/>
    <w:rsid w:val="00A00742"/>
    <w:rsid w:val="00A01412"/>
    <w:rsid w:val="00A0401E"/>
    <w:rsid w:val="00A04FA4"/>
    <w:rsid w:val="00A06A05"/>
    <w:rsid w:val="00A07059"/>
    <w:rsid w:val="00A07E54"/>
    <w:rsid w:val="00A106AF"/>
    <w:rsid w:val="00A10EDC"/>
    <w:rsid w:val="00A11814"/>
    <w:rsid w:val="00A11D83"/>
    <w:rsid w:val="00A11DC5"/>
    <w:rsid w:val="00A1251E"/>
    <w:rsid w:val="00A131A7"/>
    <w:rsid w:val="00A13869"/>
    <w:rsid w:val="00A14E52"/>
    <w:rsid w:val="00A2001C"/>
    <w:rsid w:val="00A211E4"/>
    <w:rsid w:val="00A212E9"/>
    <w:rsid w:val="00A246BC"/>
    <w:rsid w:val="00A24706"/>
    <w:rsid w:val="00A24E63"/>
    <w:rsid w:val="00A2732C"/>
    <w:rsid w:val="00A27E73"/>
    <w:rsid w:val="00A3257B"/>
    <w:rsid w:val="00A32DB1"/>
    <w:rsid w:val="00A3349F"/>
    <w:rsid w:val="00A35868"/>
    <w:rsid w:val="00A358A8"/>
    <w:rsid w:val="00A367EE"/>
    <w:rsid w:val="00A378B3"/>
    <w:rsid w:val="00A37DC3"/>
    <w:rsid w:val="00A37F9B"/>
    <w:rsid w:val="00A41C65"/>
    <w:rsid w:val="00A4284E"/>
    <w:rsid w:val="00A4349E"/>
    <w:rsid w:val="00A43D4B"/>
    <w:rsid w:val="00A47F7E"/>
    <w:rsid w:val="00A522F4"/>
    <w:rsid w:val="00A533C7"/>
    <w:rsid w:val="00A53C54"/>
    <w:rsid w:val="00A53DD4"/>
    <w:rsid w:val="00A5437D"/>
    <w:rsid w:val="00A549AA"/>
    <w:rsid w:val="00A55BED"/>
    <w:rsid w:val="00A55FCE"/>
    <w:rsid w:val="00A56B8F"/>
    <w:rsid w:val="00A575CE"/>
    <w:rsid w:val="00A576FB"/>
    <w:rsid w:val="00A602A5"/>
    <w:rsid w:val="00A617E8"/>
    <w:rsid w:val="00A6297E"/>
    <w:rsid w:val="00A6310D"/>
    <w:rsid w:val="00A63349"/>
    <w:rsid w:val="00A63391"/>
    <w:rsid w:val="00A63F76"/>
    <w:rsid w:val="00A64098"/>
    <w:rsid w:val="00A642C6"/>
    <w:rsid w:val="00A6505B"/>
    <w:rsid w:val="00A65357"/>
    <w:rsid w:val="00A668B3"/>
    <w:rsid w:val="00A67ECE"/>
    <w:rsid w:val="00A7683D"/>
    <w:rsid w:val="00A76E99"/>
    <w:rsid w:val="00A77629"/>
    <w:rsid w:val="00A80B0F"/>
    <w:rsid w:val="00A818C1"/>
    <w:rsid w:val="00A827E6"/>
    <w:rsid w:val="00A8391E"/>
    <w:rsid w:val="00A843AF"/>
    <w:rsid w:val="00A8726F"/>
    <w:rsid w:val="00A874D9"/>
    <w:rsid w:val="00A9637C"/>
    <w:rsid w:val="00A96DB9"/>
    <w:rsid w:val="00A975A9"/>
    <w:rsid w:val="00A97A25"/>
    <w:rsid w:val="00AA0B3B"/>
    <w:rsid w:val="00AA2769"/>
    <w:rsid w:val="00AA42F4"/>
    <w:rsid w:val="00AA4CEB"/>
    <w:rsid w:val="00AA4DA5"/>
    <w:rsid w:val="00AA5D4D"/>
    <w:rsid w:val="00AA6740"/>
    <w:rsid w:val="00AB0BF9"/>
    <w:rsid w:val="00AB15AD"/>
    <w:rsid w:val="00AB31F7"/>
    <w:rsid w:val="00AB44B2"/>
    <w:rsid w:val="00AB5B99"/>
    <w:rsid w:val="00AB7D6A"/>
    <w:rsid w:val="00AB7DE5"/>
    <w:rsid w:val="00AC0C78"/>
    <w:rsid w:val="00AC1F33"/>
    <w:rsid w:val="00AC4DAB"/>
    <w:rsid w:val="00AC537E"/>
    <w:rsid w:val="00AC7503"/>
    <w:rsid w:val="00AC7E01"/>
    <w:rsid w:val="00AD000F"/>
    <w:rsid w:val="00AD1D8F"/>
    <w:rsid w:val="00AD2417"/>
    <w:rsid w:val="00AD3ABB"/>
    <w:rsid w:val="00AD4304"/>
    <w:rsid w:val="00AD43EA"/>
    <w:rsid w:val="00AD4ADA"/>
    <w:rsid w:val="00AD5F21"/>
    <w:rsid w:val="00AD6163"/>
    <w:rsid w:val="00AD62B2"/>
    <w:rsid w:val="00AD6D9E"/>
    <w:rsid w:val="00AD7319"/>
    <w:rsid w:val="00AD7693"/>
    <w:rsid w:val="00AE1C00"/>
    <w:rsid w:val="00AE2618"/>
    <w:rsid w:val="00AE2E8D"/>
    <w:rsid w:val="00AE3688"/>
    <w:rsid w:val="00AE4D06"/>
    <w:rsid w:val="00AE4E5B"/>
    <w:rsid w:val="00AE73F3"/>
    <w:rsid w:val="00AF0DF5"/>
    <w:rsid w:val="00AF14AE"/>
    <w:rsid w:val="00AF22CE"/>
    <w:rsid w:val="00AF2F67"/>
    <w:rsid w:val="00AF301D"/>
    <w:rsid w:val="00AF3548"/>
    <w:rsid w:val="00AF5907"/>
    <w:rsid w:val="00AF64FC"/>
    <w:rsid w:val="00AF7112"/>
    <w:rsid w:val="00AF716A"/>
    <w:rsid w:val="00AF71C3"/>
    <w:rsid w:val="00B01E4D"/>
    <w:rsid w:val="00B02156"/>
    <w:rsid w:val="00B03A9B"/>
    <w:rsid w:val="00B0554E"/>
    <w:rsid w:val="00B12D48"/>
    <w:rsid w:val="00B16CE0"/>
    <w:rsid w:val="00B17466"/>
    <w:rsid w:val="00B22D46"/>
    <w:rsid w:val="00B23575"/>
    <w:rsid w:val="00B24EEB"/>
    <w:rsid w:val="00B25379"/>
    <w:rsid w:val="00B25D69"/>
    <w:rsid w:val="00B30C14"/>
    <w:rsid w:val="00B30CB1"/>
    <w:rsid w:val="00B32AF9"/>
    <w:rsid w:val="00B3383C"/>
    <w:rsid w:val="00B34416"/>
    <w:rsid w:val="00B34E0A"/>
    <w:rsid w:val="00B34F25"/>
    <w:rsid w:val="00B35976"/>
    <w:rsid w:val="00B35DAD"/>
    <w:rsid w:val="00B40DBC"/>
    <w:rsid w:val="00B412D2"/>
    <w:rsid w:val="00B4479F"/>
    <w:rsid w:val="00B50187"/>
    <w:rsid w:val="00B53419"/>
    <w:rsid w:val="00B55394"/>
    <w:rsid w:val="00B55918"/>
    <w:rsid w:val="00B559C9"/>
    <w:rsid w:val="00B55FA3"/>
    <w:rsid w:val="00B56AAE"/>
    <w:rsid w:val="00B57029"/>
    <w:rsid w:val="00B5728E"/>
    <w:rsid w:val="00B600DD"/>
    <w:rsid w:val="00B609F9"/>
    <w:rsid w:val="00B6185F"/>
    <w:rsid w:val="00B63A55"/>
    <w:rsid w:val="00B63FF2"/>
    <w:rsid w:val="00B64451"/>
    <w:rsid w:val="00B64640"/>
    <w:rsid w:val="00B64895"/>
    <w:rsid w:val="00B64B3A"/>
    <w:rsid w:val="00B64BE2"/>
    <w:rsid w:val="00B650A8"/>
    <w:rsid w:val="00B65CB4"/>
    <w:rsid w:val="00B65E59"/>
    <w:rsid w:val="00B672EB"/>
    <w:rsid w:val="00B67CE0"/>
    <w:rsid w:val="00B715A3"/>
    <w:rsid w:val="00B7389E"/>
    <w:rsid w:val="00B73FCC"/>
    <w:rsid w:val="00B75AE3"/>
    <w:rsid w:val="00B76287"/>
    <w:rsid w:val="00B811F7"/>
    <w:rsid w:val="00B8202D"/>
    <w:rsid w:val="00B831E4"/>
    <w:rsid w:val="00B841E3"/>
    <w:rsid w:val="00B844A2"/>
    <w:rsid w:val="00B84528"/>
    <w:rsid w:val="00B87257"/>
    <w:rsid w:val="00B904CA"/>
    <w:rsid w:val="00B904EC"/>
    <w:rsid w:val="00B90501"/>
    <w:rsid w:val="00B9070F"/>
    <w:rsid w:val="00B91415"/>
    <w:rsid w:val="00B91C48"/>
    <w:rsid w:val="00B92121"/>
    <w:rsid w:val="00B96737"/>
    <w:rsid w:val="00B96DEF"/>
    <w:rsid w:val="00BA0B42"/>
    <w:rsid w:val="00BA4492"/>
    <w:rsid w:val="00BA4EBC"/>
    <w:rsid w:val="00BA5A37"/>
    <w:rsid w:val="00BA6F9F"/>
    <w:rsid w:val="00BB2719"/>
    <w:rsid w:val="00BB31BD"/>
    <w:rsid w:val="00BB3383"/>
    <w:rsid w:val="00BB5019"/>
    <w:rsid w:val="00BB5DEB"/>
    <w:rsid w:val="00BB640F"/>
    <w:rsid w:val="00BC0D1E"/>
    <w:rsid w:val="00BC1ADB"/>
    <w:rsid w:val="00BC21FB"/>
    <w:rsid w:val="00BC262C"/>
    <w:rsid w:val="00BC2D8A"/>
    <w:rsid w:val="00BC454C"/>
    <w:rsid w:val="00BC4F85"/>
    <w:rsid w:val="00BC5C96"/>
    <w:rsid w:val="00BC5D93"/>
    <w:rsid w:val="00BC6C70"/>
    <w:rsid w:val="00BC7A00"/>
    <w:rsid w:val="00BC7E5A"/>
    <w:rsid w:val="00BD0F9A"/>
    <w:rsid w:val="00BD1455"/>
    <w:rsid w:val="00BD1D78"/>
    <w:rsid w:val="00BD2DDD"/>
    <w:rsid w:val="00BD30EA"/>
    <w:rsid w:val="00BD39EA"/>
    <w:rsid w:val="00BD3CD8"/>
    <w:rsid w:val="00BD49D9"/>
    <w:rsid w:val="00BD5183"/>
    <w:rsid w:val="00BD5501"/>
    <w:rsid w:val="00BD5CF3"/>
    <w:rsid w:val="00BD7AF2"/>
    <w:rsid w:val="00BD7D2E"/>
    <w:rsid w:val="00BE0C42"/>
    <w:rsid w:val="00BE10A9"/>
    <w:rsid w:val="00BE1DD1"/>
    <w:rsid w:val="00BE2418"/>
    <w:rsid w:val="00BE3963"/>
    <w:rsid w:val="00BE488F"/>
    <w:rsid w:val="00BE4D7F"/>
    <w:rsid w:val="00BE5FC8"/>
    <w:rsid w:val="00BE761E"/>
    <w:rsid w:val="00BF224A"/>
    <w:rsid w:val="00BF2E9E"/>
    <w:rsid w:val="00BF4434"/>
    <w:rsid w:val="00BF501E"/>
    <w:rsid w:val="00BF511D"/>
    <w:rsid w:val="00BF6240"/>
    <w:rsid w:val="00C005C8"/>
    <w:rsid w:val="00C01210"/>
    <w:rsid w:val="00C01B75"/>
    <w:rsid w:val="00C02137"/>
    <w:rsid w:val="00C0291D"/>
    <w:rsid w:val="00C02F15"/>
    <w:rsid w:val="00C044D8"/>
    <w:rsid w:val="00C0455C"/>
    <w:rsid w:val="00C047D2"/>
    <w:rsid w:val="00C04EA3"/>
    <w:rsid w:val="00C05911"/>
    <w:rsid w:val="00C06080"/>
    <w:rsid w:val="00C069EB"/>
    <w:rsid w:val="00C07A0E"/>
    <w:rsid w:val="00C104A3"/>
    <w:rsid w:val="00C13390"/>
    <w:rsid w:val="00C139FC"/>
    <w:rsid w:val="00C14CB5"/>
    <w:rsid w:val="00C14E16"/>
    <w:rsid w:val="00C209C5"/>
    <w:rsid w:val="00C20E5F"/>
    <w:rsid w:val="00C22848"/>
    <w:rsid w:val="00C229F2"/>
    <w:rsid w:val="00C22E50"/>
    <w:rsid w:val="00C22EB2"/>
    <w:rsid w:val="00C2550E"/>
    <w:rsid w:val="00C25595"/>
    <w:rsid w:val="00C25C2B"/>
    <w:rsid w:val="00C25C6D"/>
    <w:rsid w:val="00C260E5"/>
    <w:rsid w:val="00C26AC3"/>
    <w:rsid w:val="00C3040E"/>
    <w:rsid w:val="00C318FC"/>
    <w:rsid w:val="00C33E23"/>
    <w:rsid w:val="00C3461B"/>
    <w:rsid w:val="00C367C7"/>
    <w:rsid w:val="00C36842"/>
    <w:rsid w:val="00C36DE6"/>
    <w:rsid w:val="00C37F41"/>
    <w:rsid w:val="00C406B6"/>
    <w:rsid w:val="00C41483"/>
    <w:rsid w:val="00C43742"/>
    <w:rsid w:val="00C4656A"/>
    <w:rsid w:val="00C47C22"/>
    <w:rsid w:val="00C50150"/>
    <w:rsid w:val="00C50B2F"/>
    <w:rsid w:val="00C51835"/>
    <w:rsid w:val="00C53944"/>
    <w:rsid w:val="00C54451"/>
    <w:rsid w:val="00C55761"/>
    <w:rsid w:val="00C560F7"/>
    <w:rsid w:val="00C61BC6"/>
    <w:rsid w:val="00C6282B"/>
    <w:rsid w:val="00C65882"/>
    <w:rsid w:val="00C65CEE"/>
    <w:rsid w:val="00C668C6"/>
    <w:rsid w:val="00C672A7"/>
    <w:rsid w:val="00C70044"/>
    <w:rsid w:val="00C7391A"/>
    <w:rsid w:val="00C74223"/>
    <w:rsid w:val="00C743CD"/>
    <w:rsid w:val="00C7530B"/>
    <w:rsid w:val="00C76096"/>
    <w:rsid w:val="00C776FA"/>
    <w:rsid w:val="00C81C48"/>
    <w:rsid w:val="00C82971"/>
    <w:rsid w:val="00C82FAE"/>
    <w:rsid w:val="00C832AF"/>
    <w:rsid w:val="00C83FD7"/>
    <w:rsid w:val="00C8447F"/>
    <w:rsid w:val="00C847B3"/>
    <w:rsid w:val="00C85B57"/>
    <w:rsid w:val="00C866AE"/>
    <w:rsid w:val="00C87009"/>
    <w:rsid w:val="00C8779D"/>
    <w:rsid w:val="00C8797E"/>
    <w:rsid w:val="00C879F9"/>
    <w:rsid w:val="00C90EA6"/>
    <w:rsid w:val="00C913AE"/>
    <w:rsid w:val="00C93BC5"/>
    <w:rsid w:val="00C9402D"/>
    <w:rsid w:val="00C940FC"/>
    <w:rsid w:val="00C95574"/>
    <w:rsid w:val="00C95C59"/>
    <w:rsid w:val="00C95E95"/>
    <w:rsid w:val="00C9606C"/>
    <w:rsid w:val="00CA0775"/>
    <w:rsid w:val="00CA0FC0"/>
    <w:rsid w:val="00CA2C55"/>
    <w:rsid w:val="00CA3D12"/>
    <w:rsid w:val="00CA5EC1"/>
    <w:rsid w:val="00CA6164"/>
    <w:rsid w:val="00CA66E5"/>
    <w:rsid w:val="00CA66EC"/>
    <w:rsid w:val="00CA71FB"/>
    <w:rsid w:val="00CA745F"/>
    <w:rsid w:val="00CB0A1A"/>
    <w:rsid w:val="00CB108D"/>
    <w:rsid w:val="00CB12B4"/>
    <w:rsid w:val="00CB1499"/>
    <w:rsid w:val="00CB4428"/>
    <w:rsid w:val="00CB5CBF"/>
    <w:rsid w:val="00CC17B7"/>
    <w:rsid w:val="00CC1DA2"/>
    <w:rsid w:val="00CC2803"/>
    <w:rsid w:val="00CC3AA3"/>
    <w:rsid w:val="00CC5F70"/>
    <w:rsid w:val="00CD1651"/>
    <w:rsid w:val="00CD1E8B"/>
    <w:rsid w:val="00CD22E3"/>
    <w:rsid w:val="00CD2473"/>
    <w:rsid w:val="00CD3324"/>
    <w:rsid w:val="00CD3C45"/>
    <w:rsid w:val="00CD4869"/>
    <w:rsid w:val="00CE13A5"/>
    <w:rsid w:val="00CE155E"/>
    <w:rsid w:val="00CE44DE"/>
    <w:rsid w:val="00CE672F"/>
    <w:rsid w:val="00CE7593"/>
    <w:rsid w:val="00CF03C0"/>
    <w:rsid w:val="00CF0F10"/>
    <w:rsid w:val="00CF1E3E"/>
    <w:rsid w:val="00CF3823"/>
    <w:rsid w:val="00CF3B0D"/>
    <w:rsid w:val="00CF5D25"/>
    <w:rsid w:val="00CF67E0"/>
    <w:rsid w:val="00CF769A"/>
    <w:rsid w:val="00D01533"/>
    <w:rsid w:val="00D016A1"/>
    <w:rsid w:val="00D03964"/>
    <w:rsid w:val="00D058B9"/>
    <w:rsid w:val="00D073E0"/>
    <w:rsid w:val="00D10EDB"/>
    <w:rsid w:val="00D11A04"/>
    <w:rsid w:val="00D11F7F"/>
    <w:rsid w:val="00D12516"/>
    <w:rsid w:val="00D13D5B"/>
    <w:rsid w:val="00D1477B"/>
    <w:rsid w:val="00D178EE"/>
    <w:rsid w:val="00D17E69"/>
    <w:rsid w:val="00D22A4B"/>
    <w:rsid w:val="00D22F93"/>
    <w:rsid w:val="00D26619"/>
    <w:rsid w:val="00D2667F"/>
    <w:rsid w:val="00D27687"/>
    <w:rsid w:val="00D2771D"/>
    <w:rsid w:val="00D33B99"/>
    <w:rsid w:val="00D33F0A"/>
    <w:rsid w:val="00D3593D"/>
    <w:rsid w:val="00D36517"/>
    <w:rsid w:val="00D36E5E"/>
    <w:rsid w:val="00D36FD1"/>
    <w:rsid w:val="00D37F3A"/>
    <w:rsid w:val="00D42449"/>
    <w:rsid w:val="00D44249"/>
    <w:rsid w:val="00D44C59"/>
    <w:rsid w:val="00D44CFF"/>
    <w:rsid w:val="00D50AF9"/>
    <w:rsid w:val="00D51410"/>
    <w:rsid w:val="00D52C10"/>
    <w:rsid w:val="00D53CAB"/>
    <w:rsid w:val="00D53EEE"/>
    <w:rsid w:val="00D56A46"/>
    <w:rsid w:val="00D5760B"/>
    <w:rsid w:val="00D57FC8"/>
    <w:rsid w:val="00D601BE"/>
    <w:rsid w:val="00D61425"/>
    <w:rsid w:val="00D6254D"/>
    <w:rsid w:val="00D63D4A"/>
    <w:rsid w:val="00D650DA"/>
    <w:rsid w:val="00D671CC"/>
    <w:rsid w:val="00D71274"/>
    <w:rsid w:val="00D75201"/>
    <w:rsid w:val="00D7745C"/>
    <w:rsid w:val="00D80D47"/>
    <w:rsid w:val="00D8374B"/>
    <w:rsid w:val="00D84ABF"/>
    <w:rsid w:val="00D852A6"/>
    <w:rsid w:val="00D85DA0"/>
    <w:rsid w:val="00D86D43"/>
    <w:rsid w:val="00D87036"/>
    <w:rsid w:val="00D92EE3"/>
    <w:rsid w:val="00D94075"/>
    <w:rsid w:val="00D940E9"/>
    <w:rsid w:val="00D955F3"/>
    <w:rsid w:val="00D9652B"/>
    <w:rsid w:val="00D96E73"/>
    <w:rsid w:val="00D9766B"/>
    <w:rsid w:val="00DA2217"/>
    <w:rsid w:val="00DA3D71"/>
    <w:rsid w:val="00DA4FC3"/>
    <w:rsid w:val="00DB211D"/>
    <w:rsid w:val="00DB2361"/>
    <w:rsid w:val="00DB2AE0"/>
    <w:rsid w:val="00DB3AD4"/>
    <w:rsid w:val="00DB41BE"/>
    <w:rsid w:val="00DB57F9"/>
    <w:rsid w:val="00DB6F7B"/>
    <w:rsid w:val="00DB751E"/>
    <w:rsid w:val="00DB77B0"/>
    <w:rsid w:val="00DC0562"/>
    <w:rsid w:val="00DC0987"/>
    <w:rsid w:val="00DC0B2D"/>
    <w:rsid w:val="00DC1F36"/>
    <w:rsid w:val="00DC3C42"/>
    <w:rsid w:val="00DC5486"/>
    <w:rsid w:val="00DC6D09"/>
    <w:rsid w:val="00DD38F6"/>
    <w:rsid w:val="00DD3F9E"/>
    <w:rsid w:val="00DD4ACC"/>
    <w:rsid w:val="00DD523E"/>
    <w:rsid w:val="00DD651A"/>
    <w:rsid w:val="00DD732D"/>
    <w:rsid w:val="00DD7339"/>
    <w:rsid w:val="00DE07FE"/>
    <w:rsid w:val="00DE0A91"/>
    <w:rsid w:val="00DE0C96"/>
    <w:rsid w:val="00DE0F12"/>
    <w:rsid w:val="00DE1D37"/>
    <w:rsid w:val="00DE2770"/>
    <w:rsid w:val="00DE453C"/>
    <w:rsid w:val="00DE5181"/>
    <w:rsid w:val="00DF143C"/>
    <w:rsid w:val="00DF3BA3"/>
    <w:rsid w:val="00DF3CC3"/>
    <w:rsid w:val="00DF4ED1"/>
    <w:rsid w:val="00DF5A56"/>
    <w:rsid w:val="00DF79C8"/>
    <w:rsid w:val="00E02B64"/>
    <w:rsid w:val="00E03176"/>
    <w:rsid w:val="00E05905"/>
    <w:rsid w:val="00E059F9"/>
    <w:rsid w:val="00E06A95"/>
    <w:rsid w:val="00E076C8"/>
    <w:rsid w:val="00E1030D"/>
    <w:rsid w:val="00E10B81"/>
    <w:rsid w:val="00E127C2"/>
    <w:rsid w:val="00E12DEA"/>
    <w:rsid w:val="00E227C3"/>
    <w:rsid w:val="00E22E2B"/>
    <w:rsid w:val="00E25A1E"/>
    <w:rsid w:val="00E26E17"/>
    <w:rsid w:val="00E301B8"/>
    <w:rsid w:val="00E31352"/>
    <w:rsid w:val="00E32848"/>
    <w:rsid w:val="00E32FE0"/>
    <w:rsid w:val="00E35816"/>
    <w:rsid w:val="00E3736F"/>
    <w:rsid w:val="00E37372"/>
    <w:rsid w:val="00E37B49"/>
    <w:rsid w:val="00E4055E"/>
    <w:rsid w:val="00E4079D"/>
    <w:rsid w:val="00E40D47"/>
    <w:rsid w:val="00E41B26"/>
    <w:rsid w:val="00E42026"/>
    <w:rsid w:val="00E438FD"/>
    <w:rsid w:val="00E44172"/>
    <w:rsid w:val="00E44D1B"/>
    <w:rsid w:val="00E46535"/>
    <w:rsid w:val="00E46A9F"/>
    <w:rsid w:val="00E47F35"/>
    <w:rsid w:val="00E50412"/>
    <w:rsid w:val="00E50D7D"/>
    <w:rsid w:val="00E52517"/>
    <w:rsid w:val="00E5289A"/>
    <w:rsid w:val="00E547AD"/>
    <w:rsid w:val="00E54F94"/>
    <w:rsid w:val="00E60969"/>
    <w:rsid w:val="00E647F1"/>
    <w:rsid w:val="00E65372"/>
    <w:rsid w:val="00E66591"/>
    <w:rsid w:val="00E67AA6"/>
    <w:rsid w:val="00E709A5"/>
    <w:rsid w:val="00E70F71"/>
    <w:rsid w:val="00E71A95"/>
    <w:rsid w:val="00E71BB0"/>
    <w:rsid w:val="00E72281"/>
    <w:rsid w:val="00E724A9"/>
    <w:rsid w:val="00E727E0"/>
    <w:rsid w:val="00E72A08"/>
    <w:rsid w:val="00E72DE3"/>
    <w:rsid w:val="00E80BB0"/>
    <w:rsid w:val="00E80F13"/>
    <w:rsid w:val="00E81D74"/>
    <w:rsid w:val="00E835CE"/>
    <w:rsid w:val="00E83D2A"/>
    <w:rsid w:val="00E83F66"/>
    <w:rsid w:val="00E84B97"/>
    <w:rsid w:val="00E84CDA"/>
    <w:rsid w:val="00E84DCE"/>
    <w:rsid w:val="00E85EB5"/>
    <w:rsid w:val="00E86276"/>
    <w:rsid w:val="00E864E9"/>
    <w:rsid w:val="00E8678D"/>
    <w:rsid w:val="00E870E4"/>
    <w:rsid w:val="00E87279"/>
    <w:rsid w:val="00E90720"/>
    <w:rsid w:val="00E90773"/>
    <w:rsid w:val="00E913AA"/>
    <w:rsid w:val="00E92113"/>
    <w:rsid w:val="00E92EE5"/>
    <w:rsid w:val="00E93DE3"/>
    <w:rsid w:val="00E94EE3"/>
    <w:rsid w:val="00E9515E"/>
    <w:rsid w:val="00EA00F4"/>
    <w:rsid w:val="00EA0296"/>
    <w:rsid w:val="00EA1154"/>
    <w:rsid w:val="00EA1AEE"/>
    <w:rsid w:val="00EA202C"/>
    <w:rsid w:val="00EA2100"/>
    <w:rsid w:val="00EA3667"/>
    <w:rsid w:val="00EA3794"/>
    <w:rsid w:val="00EA3983"/>
    <w:rsid w:val="00EA4272"/>
    <w:rsid w:val="00EA49C2"/>
    <w:rsid w:val="00EA5604"/>
    <w:rsid w:val="00EA5E1D"/>
    <w:rsid w:val="00EA6A3A"/>
    <w:rsid w:val="00EA7210"/>
    <w:rsid w:val="00EA7DAF"/>
    <w:rsid w:val="00EB34D1"/>
    <w:rsid w:val="00EB3A59"/>
    <w:rsid w:val="00EB3F8D"/>
    <w:rsid w:val="00EB7A21"/>
    <w:rsid w:val="00EB7E14"/>
    <w:rsid w:val="00EC1823"/>
    <w:rsid w:val="00EC2AA4"/>
    <w:rsid w:val="00EC4EAF"/>
    <w:rsid w:val="00EC6F43"/>
    <w:rsid w:val="00EC7F5B"/>
    <w:rsid w:val="00ED0DAA"/>
    <w:rsid w:val="00ED12FD"/>
    <w:rsid w:val="00ED23E2"/>
    <w:rsid w:val="00ED2672"/>
    <w:rsid w:val="00ED3893"/>
    <w:rsid w:val="00ED5451"/>
    <w:rsid w:val="00ED6412"/>
    <w:rsid w:val="00ED650D"/>
    <w:rsid w:val="00ED6E64"/>
    <w:rsid w:val="00EE0B62"/>
    <w:rsid w:val="00EE1383"/>
    <w:rsid w:val="00EE3CAA"/>
    <w:rsid w:val="00EE4588"/>
    <w:rsid w:val="00EE4E36"/>
    <w:rsid w:val="00EE5D7A"/>
    <w:rsid w:val="00EF3810"/>
    <w:rsid w:val="00EF3A95"/>
    <w:rsid w:val="00EF468D"/>
    <w:rsid w:val="00EF61E4"/>
    <w:rsid w:val="00EF6707"/>
    <w:rsid w:val="00EF6993"/>
    <w:rsid w:val="00EF6D87"/>
    <w:rsid w:val="00EF744D"/>
    <w:rsid w:val="00F00B39"/>
    <w:rsid w:val="00F017DA"/>
    <w:rsid w:val="00F0235F"/>
    <w:rsid w:val="00F02372"/>
    <w:rsid w:val="00F0306A"/>
    <w:rsid w:val="00F033FB"/>
    <w:rsid w:val="00F03983"/>
    <w:rsid w:val="00F056FF"/>
    <w:rsid w:val="00F059CE"/>
    <w:rsid w:val="00F06EE6"/>
    <w:rsid w:val="00F07328"/>
    <w:rsid w:val="00F07539"/>
    <w:rsid w:val="00F0768B"/>
    <w:rsid w:val="00F11B95"/>
    <w:rsid w:val="00F12554"/>
    <w:rsid w:val="00F13242"/>
    <w:rsid w:val="00F149F1"/>
    <w:rsid w:val="00F1586E"/>
    <w:rsid w:val="00F16649"/>
    <w:rsid w:val="00F16BD7"/>
    <w:rsid w:val="00F17AC1"/>
    <w:rsid w:val="00F17C33"/>
    <w:rsid w:val="00F20790"/>
    <w:rsid w:val="00F225B7"/>
    <w:rsid w:val="00F22FA3"/>
    <w:rsid w:val="00F232FC"/>
    <w:rsid w:val="00F23C36"/>
    <w:rsid w:val="00F24BE0"/>
    <w:rsid w:val="00F2606A"/>
    <w:rsid w:val="00F27298"/>
    <w:rsid w:val="00F27C26"/>
    <w:rsid w:val="00F315DA"/>
    <w:rsid w:val="00F31D71"/>
    <w:rsid w:val="00F32952"/>
    <w:rsid w:val="00F3360F"/>
    <w:rsid w:val="00F34238"/>
    <w:rsid w:val="00F3499D"/>
    <w:rsid w:val="00F34AE9"/>
    <w:rsid w:val="00F35341"/>
    <w:rsid w:val="00F370FF"/>
    <w:rsid w:val="00F37CAC"/>
    <w:rsid w:val="00F41EB4"/>
    <w:rsid w:val="00F44166"/>
    <w:rsid w:val="00F4582D"/>
    <w:rsid w:val="00F46ED0"/>
    <w:rsid w:val="00F5076E"/>
    <w:rsid w:val="00F5164C"/>
    <w:rsid w:val="00F51FB3"/>
    <w:rsid w:val="00F5229C"/>
    <w:rsid w:val="00F53707"/>
    <w:rsid w:val="00F55088"/>
    <w:rsid w:val="00F557A6"/>
    <w:rsid w:val="00F6029A"/>
    <w:rsid w:val="00F615F2"/>
    <w:rsid w:val="00F61CB1"/>
    <w:rsid w:val="00F62B9F"/>
    <w:rsid w:val="00F6415A"/>
    <w:rsid w:val="00F646D7"/>
    <w:rsid w:val="00F64C61"/>
    <w:rsid w:val="00F65475"/>
    <w:rsid w:val="00F667FC"/>
    <w:rsid w:val="00F67868"/>
    <w:rsid w:val="00F708BA"/>
    <w:rsid w:val="00F7214A"/>
    <w:rsid w:val="00F72203"/>
    <w:rsid w:val="00F72DB2"/>
    <w:rsid w:val="00F743B8"/>
    <w:rsid w:val="00F80075"/>
    <w:rsid w:val="00F80759"/>
    <w:rsid w:val="00F80B01"/>
    <w:rsid w:val="00F818C5"/>
    <w:rsid w:val="00F818F3"/>
    <w:rsid w:val="00F82816"/>
    <w:rsid w:val="00F82F7C"/>
    <w:rsid w:val="00F83C9E"/>
    <w:rsid w:val="00F84245"/>
    <w:rsid w:val="00F86085"/>
    <w:rsid w:val="00F8786C"/>
    <w:rsid w:val="00F9075D"/>
    <w:rsid w:val="00F90C81"/>
    <w:rsid w:val="00F9258B"/>
    <w:rsid w:val="00F930B0"/>
    <w:rsid w:val="00F933A0"/>
    <w:rsid w:val="00F9426C"/>
    <w:rsid w:val="00F9511E"/>
    <w:rsid w:val="00F954F2"/>
    <w:rsid w:val="00F9593A"/>
    <w:rsid w:val="00F96F29"/>
    <w:rsid w:val="00F97D16"/>
    <w:rsid w:val="00FA00E2"/>
    <w:rsid w:val="00FA033B"/>
    <w:rsid w:val="00FA04D5"/>
    <w:rsid w:val="00FA0752"/>
    <w:rsid w:val="00FA0B54"/>
    <w:rsid w:val="00FA6579"/>
    <w:rsid w:val="00FA65FB"/>
    <w:rsid w:val="00FA7BAF"/>
    <w:rsid w:val="00FB1D16"/>
    <w:rsid w:val="00FB6862"/>
    <w:rsid w:val="00FB7B58"/>
    <w:rsid w:val="00FC1617"/>
    <w:rsid w:val="00FC1963"/>
    <w:rsid w:val="00FC331C"/>
    <w:rsid w:val="00FC5DEB"/>
    <w:rsid w:val="00FC63E5"/>
    <w:rsid w:val="00FC6F5A"/>
    <w:rsid w:val="00FC7229"/>
    <w:rsid w:val="00FC78AE"/>
    <w:rsid w:val="00FD0E4B"/>
    <w:rsid w:val="00FD4408"/>
    <w:rsid w:val="00FD474B"/>
    <w:rsid w:val="00FD4FA9"/>
    <w:rsid w:val="00FD783A"/>
    <w:rsid w:val="00FD7A13"/>
    <w:rsid w:val="00FD7FA2"/>
    <w:rsid w:val="00FE0B5A"/>
    <w:rsid w:val="00FE1122"/>
    <w:rsid w:val="00FE36A4"/>
    <w:rsid w:val="00FE5C38"/>
    <w:rsid w:val="00FE5E9C"/>
    <w:rsid w:val="00FE6E31"/>
    <w:rsid w:val="00FF1E3E"/>
    <w:rsid w:val="00FF2079"/>
    <w:rsid w:val="00FF20B2"/>
    <w:rsid w:val="00FF3BD8"/>
    <w:rsid w:val="00FF4CD5"/>
    <w:rsid w:val="00FF4FF2"/>
    <w:rsid w:val="00FF7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3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title"/>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contents">
    <w:name w:val="toccontents"/>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02137"/>
  </w:style>
  <w:style w:type="paragraph" w:customStyle="1" w:styleId="tocparttitle">
    <w:name w:val="tocparttitle"/>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5D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F6"/>
  </w:style>
  <w:style w:type="paragraph" w:styleId="Footer">
    <w:name w:val="footer"/>
    <w:basedOn w:val="Normal"/>
    <w:link w:val="FooterChar"/>
    <w:uiPriority w:val="99"/>
    <w:unhideWhenUsed/>
    <w:rsid w:val="005D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F6"/>
  </w:style>
  <w:style w:type="table" w:styleId="TableGrid">
    <w:name w:val="Table Grid"/>
    <w:basedOn w:val="TableNormal"/>
    <w:uiPriority w:val="59"/>
    <w:rsid w:val="0042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D6F32"/>
    <w:pPr>
      <w:ind w:left="720"/>
      <w:contextualSpacing/>
    </w:pPr>
  </w:style>
  <w:style w:type="paragraph" w:styleId="NoSpacing">
    <w:name w:val="No Spacing"/>
    <w:uiPriority w:val="1"/>
    <w:qFormat/>
    <w:rsid w:val="00236349"/>
    <w:pPr>
      <w:spacing w:after="0" w:line="240" w:lineRule="auto"/>
    </w:pPr>
  </w:style>
  <w:style w:type="paragraph" w:styleId="BalloonText">
    <w:name w:val="Balloon Text"/>
    <w:basedOn w:val="Normal"/>
    <w:link w:val="BalloonTextChar"/>
    <w:uiPriority w:val="99"/>
    <w:semiHidden/>
    <w:unhideWhenUsed/>
    <w:rsid w:val="006C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FB4"/>
    <w:rPr>
      <w:rFonts w:ascii="Tahoma" w:hAnsi="Tahoma" w:cs="Tahoma"/>
      <w:sz w:val="16"/>
      <w:szCs w:val="16"/>
    </w:rPr>
  </w:style>
  <w:style w:type="character" w:styleId="CommentReference">
    <w:name w:val="annotation reference"/>
    <w:basedOn w:val="DefaultParagraphFont"/>
    <w:uiPriority w:val="99"/>
    <w:semiHidden/>
    <w:unhideWhenUsed/>
    <w:rsid w:val="00F82F7C"/>
    <w:rPr>
      <w:sz w:val="16"/>
      <w:szCs w:val="16"/>
    </w:rPr>
  </w:style>
  <w:style w:type="paragraph" w:styleId="CommentText">
    <w:name w:val="annotation text"/>
    <w:basedOn w:val="Normal"/>
    <w:link w:val="CommentTextChar"/>
    <w:uiPriority w:val="99"/>
    <w:unhideWhenUsed/>
    <w:rsid w:val="00F82F7C"/>
    <w:pPr>
      <w:spacing w:line="240" w:lineRule="auto"/>
    </w:pPr>
    <w:rPr>
      <w:sz w:val="20"/>
      <w:szCs w:val="20"/>
    </w:rPr>
  </w:style>
  <w:style w:type="character" w:customStyle="1" w:styleId="CommentTextChar">
    <w:name w:val="Comment Text Char"/>
    <w:basedOn w:val="DefaultParagraphFont"/>
    <w:link w:val="CommentText"/>
    <w:uiPriority w:val="99"/>
    <w:rsid w:val="00F82F7C"/>
    <w:rPr>
      <w:sz w:val="20"/>
      <w:szCs w:val="20"/>
    </w:rPr>
  </w:style>
  <w:style w:type="paragraph" w:styleId="CommentSubject">
    <w:name w:val="annotation subject"/>
    <w:basedOn w:val="CommentText"/>
    <w:next w:val="CommentText"/>
    <w:link w:val="CommentSubjectChar"/>
    <w:uiPriority w:val="99"/>
    <w:semiHidden/>
    <w:unhideWhenUsed/>
    <w:rsid w:val="00F82F7C"/>
    <w:rPr>
      <w:b/>
      <w:bCs/>
    </w:rPr>
  </w:style>
  <w:style w:type="character" w:customStyle="1" w:styleId="CommentSubjectChar">
    <w:name w:val="Comment Subject Char"/>
    <w:basedOn w:val="CommentTextChar"/>
    <w:link w:val="CommentSubject"/>
    <w:uiPriority w:val="99"/>
    <w:semiHidden/>
    <w:rsid w:val="00F82F7C"/>
    <w:rPr>
      <w:b/>
      <w:bCs/>
      <w:sz w:val="20"/>
      <w:szCs w:val="20"/>
    </w:rPr>
  </w:style>
  <w:style w:type="paragraph" w:styleId="Revision">
    <w:name w:val="Revision"/>
    <w:hidden/>
    <w:uiPriority w:val="99"/>
    <w:semiHidden/>
    <w:rsid w:val="00414D8D"/>
    <w:pPr>
      <w:spacing w:after="0" w:line="240" w:lineRule="auto"/>
    </w:pPr>
  </w:style>
  <w:style w:type="character" w:customStyle="1" w:styleId="Heading2Char">
    <w:name w:val="Heading 2 Char"/>
    <w:basedOn w:val="DefaultParagraphFont"/>
    <w:link w:val="Heading2"/>
    <w:uiPriority w:val="9"/>
    <w:semiHidden/>
    <w:rsid w:val="004A3BB8"/>
    <w:rPr>
      <w:rFonts w:asciiTheme="majorHAnsi" w:eastAsiaTheme="majorEastAsia" w:hAnsiTheme="majorHAnsi" w:cstheme="majorBidi"/>
      <w:b/>
      <w:bCs/>
      <w:color w:val="4F81BD" w:themeColor="accent1"/>
      <w:sz w:val="26"/>
      <w:szCs w:val="26"/>
    </w:rPr>
  </w:style>
  <w:style w:type="paragraph" w:customStyle="1" w:styleId="tocheading">
    <w:name w:val="tocheading"/>
    <w:basedOn w:val="Normal"/>
    <w:rsid w:val="004A3BB8"/>
    <w:pPr>
      <w:spacing w:after="240" w:line="240" w:lineRule="auto"/>
      <w:jc w:val="center"/>
    </w:pPr>
    <w:rPr>
      <w:rFonts w:ascii="Arial" w:eastAsia="Times New Roman" w:hAnsi="Arial" w:cs="Times New Roman"/>
      <w:b/>
      <w:spacing w:val="100"/>
      <w:sz w:val="28"/>
      <w:szCs w:val="20"/>
      <w:lang w:val="en-US" w:eastAsia="en-CA"/>
    </w:rPr>
  </w:style>
  <w:style w:type="character" w:customStyle="1" w:styleId="Heading1Char">
    <w:name w:val="Heading 1 Char"/>
    <w:basedOn w:val="DefaultParagraphFont"/>
    <w:link w:val="Heading1"/>
    <w:uiPriority w:val="9"/>
    <w:rsid w:val="004A3BB8"/>
    <w:rPr>
      <w:rFonts w:asciiTheme="majorHAnsi" w:eastAsiaTheme="majorEastAsia" w:hAnsiTheme="majorHAnsi" w:cstheme="majorBidi"/>
      <w:b/>
      <w:bCs/>
      <w:color w:val="365F91" w:themeColor="accent1" w:themeShade="BF"/>
      <w:sz w:val="28"/>
      <w:szCs w:val="28"/>
    </w:rPr>
  </w:style>
  <w:style w:type="paragraph" w:styleId="TOCHeading0">
    <w:name w:val="TOC Heading"/>
    <w:basedOn w:val="Heading1"/>
    <w:next w:val="Normal"/>
    <w:uiPriority w:val="39"/>
    <w:semiHidden/>
    <w:unhideWhenUsed/>
    <w:qFormat/>
    <w:rsid w:val="004A3BB8"/>
    <w:pPr>
      <w:outlineLvl w:val="9"/>
    </w:pPr>
    <w:rPr>
      <w:lang w:val="en-US" w:eastAsia="ja-JP"/>
    </w:rPr>
  </w:style>
  <w:style w:type="character" w:styleId="Hyperlink">
    <w:name w:val="Hyperlink"/>
    <w:basedOn w:val="DefaultParagraphFont"/>
    <w:uiPriority w:val="99"/>
    <w:unhideWhenUsed/>
    <w:rsid w:val="00B25D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3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title"/>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contents">
    <w:name w:val="toccontents"/>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02137"/>
  </w:style>
  <w:style w:type="paragraph" w:customStyle="1" w:styleId="tocparttitle">
    <w:name w:val="tocparttitle"/>
    <w:basedOn w:val="Normal"/>
    <w:rsid w:val="0040213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5D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F6"/>
  </w:style>
  <w:style w:type="paragraph" w:styleId="Footer">
    <w:name w:val="footer"/>
    <w:basedOn w:val="Normal"/>
    <w:link w:val="FooterChar"/>
    <w:uiPriority w:val="99"/>
    <w:unhideWhenUsed/>
    <w:rsid w:val="005D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F6"/>
  </w:style>
  <w:style w:type="table" w:styleId="TableGrid">
    <w:name w:val="Table Grid"/>
    <w:basedOn w:val="TableNormal"/>
    <w:uiPriority w:val="59"/>
    <w:rsid w:val="0042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D6F32"/>
    <w:pPr>
      <w:ind w:left="720"/>
      <w:contextualSpacing/>
    </w:pPr>
  </w:style>
  <w:style w:type="paragraph" w:styleId="NoSpacing">
    <w:name w:val="No Spacing"/>
    <w:uiPriority w:val="1"/>
    <w:qFormat/>
    <w:rsid w:val="00236349"/>
    <w:pPr>
      <w:spacing w:after="0" w:line="240" w:lineRule="auto"/>
    </w:pPr>
  </w:style>
  <w:style w:type="paragraph" w:styleId="BalloonText">
    <w:name w:val="Balloon Text"/>
    <w:basedOn w:val="Normal"/>
    <w:link w:val="BalloonTextChar"/>
    <w:uiPriority w:val="99"/>
    <w:semiHidden/>
    <w:unhideWhenUsed/>
    <w:rsid w:val="006C4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FB4"/>
    <w:rPr>
      <w:rFonts w:ascii="Tahoma" w:hAnsi="Tahoma" w:cs="Tahoma"/>
      <w:sz w:val="16"/>
      <w:szCs w:val="16"/>
    </w:rPr>
  </w:style>
  <w:style w:type="character" w:styleId="CommentReference">
    <w:name w:val="annotation reference"/>
    <w:basedOn w:val="DefaultParagraphFont"/>
    <w:uiPriority w:val="99"/>
    <w:semiHidden/>
    <w:unhideWhenUsed/>
    <w:rsid w:val="00F82F7C"/>
    <w:rPr>
      <w:sz w:val="16"/>
      <w:szCs w:val="16"/>
    </w:rPr>
  </w:style>
  <w:style w:type="paragraph" w:styleId="CommentText">
    <w:name w:val="annotation text"/>
    <w:basedOn w:val="Normal"/>
    <w:link w:val="CommentTextChar"/>
    <w:uiPriority w:val="99"/>
    <w:unhideWhenUsed/>
    <w:rsid w:val="00F82F7C"/>
    <w:pPr>
      <w:spacing w:line="240" w:lineRule="auto"/>
    </w:pPr>
    <w:rPr>
      <w:sz w:val="20"/>
      <w:szCs w:val="20"/>
    </w:rPr>
  </w:style>
  <w:style w:type="character" w:customStyle="1" w:styleId="CommentTextChar">
    <w:name w:val="Comment Text Char"/>
    <w:basedOn w:val="DefaultParagraphFont"/>
    <w:link w:val="CommentText"/>
    <w:uiPriority w:val="99"/>
    <w:rsid w:val="00F82F7C"/>
    <w:rPr>
      <w:sz w:val="20"/>
      <w:szCs w:val="20"/>
    </w:rPr>
  </w:style>
  <w:style w:type="paragraph" w:styleId="CommentSubject">
    <w:name w:val="annotation subject"/>
    <w:basedOn w:val="CommentText"/>
    <w:next w:val="CommentText"/>
    <w:link w:val="CommentSubjectChar"/>
    <w:uiPriority w:val="99"/>
    <w:semiHidden/>
    <w:unhideWhenUsed/>
    <w:rsid w:val="00F82F7C"/>
    <w:rPr>
      <w:b/>
      <w:bCs/>
    </w:rPr>
  </w:style>
  <w:style w:type="character" w:customStyle="1" w:styleId="CommentSubjectChar">
    <w:name w:val="Comment Subject Char"/>
    <w:basedOn w:val="CommentTextChar"/>
    <w:link w:val="CommentSubject"/>
    <w:uiPriority w:val="99"/>
    <w:semiHidden/>
    <w:rsid w:val="00F82F7C"/>
    <w:rPr>
      <w:b/>
      <w:bCs/>
      <w:sz w:val="20"/>
      <w:szCs w:val="20"/>
    </w:rPr>
  </w:style>
  <w:style w:type="paragraph" w:styleId="Revision">
    <w:name w:val="Revision"/>
    <w:hidden/>
    <w:uiPriority w:val="99"/>
    <w:semiHidden/>
    <w:rsid w:val="00414D8D"/>
    <w:pPr>
      <w:spacing w:after="0" w:line="240" w:lineRule="auto"/>
    </w:pPr>
  </w:style>
  <w:style w:type="character" w:customStyle="1" w:styleId="Heading2Char">
    <w:name w:val="Heading 2 Char"/>
    <w:basedOn w:val="DefaultParagraphFont"/>
    <w:link w:val="Heading2"/>
    <w:uiPriority w:val="9"/>
    <w:semiHidden/>
    <w:rsid w:val="004A3BB8"/>
    <w:rPr>
      <w:rFonts w:asciiTheme="majorHAnsi" w:eastAsiaTheme="majorEastAsia" w:hAnsiTheme="majorHAnsi" w:cstheme="majorBidi"/>
      <w:b/>
      <w:bCs/>
      <w:color w:val="4F81BD" w:themeColor="accent1"/>
      <w:sz w:val="26"/>
      <w:szCs w:val="26"/>
    </w:rPr>
  </w:style>
  <w:style w:type="paragraph" w:customStyle="1" w:styleId="tocheading">
    <w:name w:val="tocheading"/>
    <w:basedOn w:val="Normal"/>
    <w:rsid w:val="004A3BB8"/>
    <w:pPr>
      <w:spacing w:after="240" w:line="240" w:lineRule="auto"/>
      <w:jc w:val="center"/>
    </w:pPr>
    <w:rPr>
      <w:rFonts w:ascii="Arial" w:eastAsia="Times New Roman" w:hAnsi="Arial" w:cs="Times New Roman"/>
      <w:b/>
      <w:spacing w:val="100"/>
      <w:sz w:val="28"/>
      <w:szCs w:val="20"/>
      <w:lang w:val="en-US" w:eastAsia="en-CA"/>
    </w:rPr>
  </w:style>
  <w:style w:type="character" w:customStyle="1" w:styleId="Heading1Char">
    <w:name w:val="Heading 1 Char"/>
    <w:basedOn w:val="DefaultParagraphFont"/>
    <w:link w:val="Heading1"/>
    <w:uiPriority w:val="9"/>
    <w:rsid w:val="004A3BB8"/>
    <w:rPr>
      <w:rFonts w:asciiTheme="majorHAnsi" w:eastAsiaTheme="majorEastAsia" w:hAnsiTheme="majorHAnsi" w:cstheme="majorBidi"/>
      <w:b/>
      <w:bCs/>
      <w:color w:val="365F91" w:themeColor="accent1" w:themeShade="BF"/>
      <w:sz w:val="28"/>
      <w:szCs w:val="28"/>
    </w:rPr>
  </w:style>
  <w:style w:type="paragraph" w:styleId="TOCHeading0">
    <w:name w:val="TOC Heading"/>
    <w:basedOn w:val="Heading1"/>
    <w:next w:val="Normal"/>
    <w:uiPriority w:val="39"/>
    <w:semiHidden/>
    <w:unhideWhenUsed/>
    <w:qFormat/>
    <w:rsid w:val="004A3BB8"/>
    <w:pPr>
      <w:outlineLvl w:val="9"/>
    </w:pPr>
    <w:rPr>
      <w:lang w:val="en-US" w:eastAsia="ja-JP"/>
    </w:rPr>
  </w:style>
  <w:style w:type="character" w:styleId="Hyperlink">
    <w:name w:val="Hyperlink"/>
    <w:basedOn w:val="DefaultParagraphFont"/>
    <w:uiPriority w:val="99"/>
    <w:unhideWhenUsed/>
    <w:rsid w:val="00B25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0236">
      <w:bodyDiv w:val="1"/>
      <w:marLeft w:val="0"/>
      <w:marRight w:val="0"/>
      <w:marTop w:val="0"/>
      <w:marBottom w:val="0"/>
      <w:divBdr>
        <w:top w:val="none" w:sz="0" w:space="0" w:color="auto"/>
        <w:left w:val="none" w:sz="0" w:space="0" w:color="auto"/>
        <w:bottom w:val="none" w:sz="0" w:space="0" w:color="auto"/>
        <w:right w:val="none" w:sz="0" w:space="0" w:color="auto"/>
      </w:divBdr>
    </w:div>
    <w:div w:id="234247283">
      <w:bodyDiv w:val="1"/>
      <w:marLeft w:val="0"/>
      <w:marRight w:val="0"/>
      <w:marTop w:val="0"/>
      <w:marBottom w:val="0"/>
      <w:divBdr>
        <w:top w:val="none" w:sz="0" w:space="0" w:color="auto"/>
        <w:left w:val="none" w:sz="0" w:space="0" w:color="auto"/>
        <w:bottom w:val="none" w:sz="0" w:space="0" w:color="auto"/>
        <w:right w:val="none" w:sz="0" w:space="0" w:color="auto"/>
      </w:divBdr>
    </w:div>
    <w:div w:id="1354267371">
      <w:bodyDiv w:val="1"/>
      <w:marLeft w:val="0"/>
      <w:marRight w:val="0"/>
      <w:marTop w:val="0"/>
      <w:marBottom w:val="0"/>
      <w:divBdr>
        <w:top w:val="none" w:sz="0" w:space="0" w:color="auto"/>
        <w:left w:val="none" w:sz="0" w:space="0" w:color="auto"/>
        <w:bottom w:val="none" w:sz="0" w:space="0" w:color="auto"/>
        <w:right w:val="none" w:sz="0" w:space="0" w:color="auto"/>
      </w:divBdr>
    </w:div>
    <w:div w:id="1672831399">
      <w:bodyDiv w:val="1"/>
      <w:marLeft w:val="0"/>
      <w:marRight w:val="0"/>
      <w:marTop w:val="0"/>
      <w:marBottom w:val="0"/>
      <w:divBdr>
        <w:top w:val="none" w:sz="0" w:space="0" w:color="auto"/>
        <w:left w:val="none" w:sz="0" w:space="0" w:color="auto"/>
        <w:bottom w:val="none" w:sz="0" w:space="0" w:color="auto"/>
        <w:right w:val="none" w:sz="0" w:space="0" w:color="auto"/>
      </w:divBdr>
    </w:div>
    <w:div w:id="1797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3206C-E3E0-4068-BBB5-3159592D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mike.chiappetta</dc:creator>
  <cp:lastModifiedBy>cate.watt</cp:lastModifiedBy>
  <cp:revision>2</cp:revision>
  <cp:lastPrinted>2017-04-06T19:26:00Z</cp:lastPrinted>
  <dcterms:created xsi:type="dcterms:W3CDTF">2017-05-18T19:18:00Z</dcterms:created>
  <dcterms:modified xsi:type="dcterms:W3CDTF">2017-05-18T19:18:00Z</dcterms:modified>
</cp:coreProperties>
</file>